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C06C8" w14:textId="77777777" w:rsidR="002D704F" w:rsidRPr="00217C2A" w:rsidRDefault="002D704F" w:rsidP="00C66C9F">
      <w:pPr>
        <w:spacing w:beforeLines="120" w:before="288" w:afterLines="120" w:after="288" w:line="360" w:lineRule="auto"/>
        <w:ind w:left="360"/>
        <w:jc w:val="center"/>
        <w:rPr>
          <w:rFonts w:cstheme="minorHAnsi"/>
          <w:b/>
          <w:bCs/>
          <w:sz w:val="18"/>
          <w:szCs w:val="18"/>
        </w:rPr>
      </w:pPr>
      <w:r w:rsidRPr="00217C2A">
        <w:rPr>
          <w:rFonts w:cstheme="minorHAnsi"/>
          <w:b/>
          <w:bCs/>
          <w:sz w:val="18"/>
          <w:szCs w:val="18"/>
        </w:rPr>
        <w:t>Electronic Supplementary Information</w:t>
      </w:r>
    </w:p>
    <w:p w14:paraId="6DA5625F" w14:textId="764C737B" w:rsidR="002D704F" w:rsidRPr="00217C2A" w:rsidRDefault="002D704F" w:rsidP="00C66C9F">
      <w:pPr>
        <w:pStyle w:val="RSCH01PaperTitle"/>
        <w:spacing w:beforeLines="120" w:before="288" w:afterLines="120" w:after="288" w:line="360" w:lineRule="auto"/>
        <w:ind w:left="360"/>
        <w:jc w:val="center"/>
        <w:rPr>
          <w:rFonts w:cstheme="minorHAnsi"/>
          <w:sz w:val="18"/>
          <w:szCs w:val="18"/>
        </w:rPr>
      </w:pPr>
      <w:r w:rsidRPr="00217C2A">
        <w:rPr>
          <w:rFonts w:cstheme="minorHAnsi"/>
          <w:sz w:val="18"/>
          <w:szCs w:val="18"/>
        </w:rPr>
        <w:t>Enzyme-responsive Nanoparticles: Enhancing Endolysins’ Ability to Eradicate Staphylococcus aureus Biofilm</w:t>
      </w:r>
    </w:p>
    <w:p w14:paraId="7CBBBD29" w14:textId="77777777" w:rsidR="002D704F" w:rsidRPr="00217C2A" w:rsidRDefault="002D704F" w:rsidP="00C66C9F">
      <w:pPr>
        <w:pStyle w:val="RSCH02PaperAuthorsandByline"/>
        <w:spacing w:beforeLines="120" w:before="288" w:afterLines="120" w:after="288" w:line="360" w:lineRule="auto"/>
        <w:ind w:left="360"/>
        <w:jc w:val="center"/>
        <w:rPr>
          <w:rFonts w:cstheme="minorHAnsi"/>
          <w:sz w:val="18"/>
          <w:szCs w:val="18"/>
        </w:rPr>
      </w:pPr>
      <w:r w:rsidRPr="00217C2A">
        <w:rPr>
          <w:rFonts w:cstheme="minorHAnsi"/>
          <w:noProof/>
          <w:sz w:val="18"/>
          <w:szCs w:val="18"/>
          <w:lang w:eastAsia="en-GB"/>
        </w:rPr>
        <w:t xml:space="preserve">Mariana Blanco Massani </w:t>
      </w:r>
      <w:r w:rsidRPr="00217C2A">
        <w:rPr>
          <w:rFonts w:cstheme="minorHAnsi"/>
          <w:noProof/>
          <w:sz w:val="18"/>
          <w:szCs w:val="18"/>
          <w:vertAlign w:val="superscript"/>
          <w:lang w:eastAsia="en-GB"/>
        </w:rPr>
        <w:t>a</w:t>
      </w:r>
      <w:r w:rsidRPr="00217C2A">
        <w:rPr>
          <w:rFonts w:cstheme="minorHAnsi"/>
          <w:noProof/>
          <w:sz w:val="18"/>
          <w:szCs w:val="18"/>
          <w:lang w:eastAsia="en-GB"/>
        </w:rPr>
        <w:t xml:space="preserve">, Dennis To </w:t>
      </w:r>
      <w:r w:rsidRPr="00217C2A">
        <w:rPr>
          <w:rFonts w:cstheme="minorHAnsi"/>
          <w:noProof/>
          <w:sz w:val="18"/>
          <w:szCs w:val="18"/>
          <w:vertAlign w:val="superscript"/>
          <w:lang w:eastAsia="en-GB"/>
        </w:rPr>
        <w:t>a</w:t>
      </w:r>
      <w:r w:rsidRPr="00217C2A">
        <w:rPr>
          <w:rFonts w:cstheme="minorHAnsi"/>
          <w:noProof/>
          <w:sz w:val="18"/>
          <w:szCs w:val="18"/>
          <w:lang w:eastAsia="en-GB"/>
        </w:rPr>
        <w:t xml:space="preserve">, Susanne Meile </w:t>
      </w:r>
      <w:r w:rsidRPr="00217C2A">
        <w:rPr>
          <w:rFonts w:cstheme="minorHAnsi"/>
          <w:noProof/>
          <w:sz w:val="18"/>
          <w:szCs w:val="18"/>
          <w:vertAlign w:val="superscript"/>
          <w:lang w:eastAsia="en-GB"/>
        </w:rPr>
        <w:t>b</w:t>
      </w:r>
      <w:r w:rsidRPr="00217C2A">
        <w:rPr>
          <w:rFonts w:cstheme="minorHAnsi"/>
          <w:noProof/>
          <w:sz w:val="18"/>
          <w:szCs w:val="18"/>
          <w:lang w:eastAsia="en-GB"/>
        </w:rPr>
        <w:t xml:space="preserve">, Mathias Schmelcher </w:t>
      </w:r>
      <w:r w:rsidRPr="00217C2A">
        <w:rPr>
          <w:rFonts w:cstheme="minorHAnsi"/>
          <w:noProof/>
          <w:sz w:val="18"/>
          <w:szCs w:val="18"/>
          <w:vertAlign w:val="superscript"/>
          <w:lang w:eastAsia="en-GB"/>
        </w:rPr>
        <w:t>b</w:t>
      </w:r>
      <w:r w:rsidRPr="00217C2A">
        <w:rPr>
          <w:rFonts w:cstheme="minorHAnsi"/>
          <w:noProof/>
          <w:sz w:val="18"/>
          <w:szCs w:val="18"/>
          <w:lang w:eastAsia="en-GB"/>
        </w:rPr>
        <w:t xml:space="preserve">, Débora C. Coraça-Huber </w:t>
      </w:r>
      <w:r w:rsidRPr="00217C2A">
        <w:rPr>
          <w:rFonts w:cstheme="minorHAnsi"/>
          <w:noProof/>
          <w:sz w:val="18"/>
          <w:szCs w:val="18"/>
          <w:vertAlign w:val="superscript"/>
          <w:lang w:eastAsia="en-GB"/>
        </w:rPr>
        <w:t>c</w:t>
      </w:r>
      <w:r w:rsidRPr="00217C2A">
        <w:rPr>
          <w:rFonts w:cstheme="minorHAnsi"/>
          <w:noProof/>
          <w:sz w:val="18"/>
          <w:szCs w:val="18"/>
          <w:lang w:eastAsia="en-GB"/>
        </w:rPr>
        <w:t xml:space="preserve">, Anna Seybold </w:t>
      </w:r>
      <w:r w:rsidRPr="00217C2A">
        <w:rPr>
          <w:rFonts w:cstheme="minorHAnsi"/>
          <w:noProof/>
          <w:sz w:val="18"/>
          <w:szCs w:val="18"/>
          <w:vertAlign w:val="superscript"/>
          <w:lang w:eastAsia="en-GB"/>
        </w:rPr>
        <w:t>d</w:t>
      </w:r>
      <w:r w:rsidRPr="00217C2A">
        <w:rPr>
          <w:rFonts w:cstheme="minorHAnsi"/>
          <w:noProof/>
          <w:sz w:val="18"/>
          <w:szCs w:val="18"/>
          <w:lang w:eastAsia="en-GB"/>
        </w:rPr>
        <w:t xml:space="preserve">, Martin Loessner </w:t>
      </w:r>
      <w:r w:rsidRPr="00217C2A">
        <w:rPr>
          <w:rFonts w:cstheme="minorHAnsi"/>
          <w:noProof/>
          <w:sz w:val="18"/>
          <w:szCs w:val="18"/>
          <w:vertAlign w:val="superscript"/>
          <w:lang w:eastAsia="en-GB"/>
        </w:rPr>
        <w:t>b</w:t>
      </w:r>
      <w:r w:rsidRPr="00217C2A">
        <w:rPr>
          <w:rFonts w:cstheme="minorHAnsi"/>
          <w:noProof/>
          <w:sz w:val="18"/>
          <w:szCs w:val="18"/>
          <w:lang w:eastAsia="en-GB"/>
        </w:rPr>
        <w:t xml:space="preserve">, and Andreas Bernkop-Schnürch </w:t>
      </w:r>
      <w:r w:rsidRPr="00217C2A">
        <w:rPr>
          <w:rFonts w:cstheme="minorHAnsi"/>
          <w:noProof/>
          <w:sz w:val="18"/>
          <w:szCs w:val="18"/>
          <w:vertAlign w:val="superscript"/>
          <w:lang w:eastAsia="en-GB"/>
        </w:rPr>
        <w:t>a</w:t>
      </w:r>
      <w:bookmarkStart w:id="0" w:name="_Hlk165473332"/>
      <w:r w:rsidRPr="00217C2A">
        <w:rPr>
          <w:rFonts w:cstheme="minorHAnsi"/>
          <w:sz w:val="18"/>
          <w:szCs w:val="18"/>
        </w:rPr>
        <w:t>†</w:t>
      </w:r>
      <w:bookmarkEnd w:id="0"/>
    </w:p>
    <w:p w14:paraId="61E36F3E" w14:textId="77777777" w:rsidR="002D704F" w:rsidRPr="00217C2A" w:rsidRDefault="002D704F" w:rsidP="00C66C9F">
      <w:pPr>
        <w:spacing w:beforeLines="120" w:before="288" w:afterLines="120" w:after="288" w:line="360" w:lineRule="auto"/>
        <w:ind w:left="360"/>
        <w:rPr>
          <w:rFonts w:eastAsia="Times New Roman" w:cstheme="minorHAnsi"/>
          <w:iCs/>
          <w:sz w:val="18"/>
          <w:szCs w:val="18"/>
        </w:rPr>
      </w:pPr>
      <w:bookmarkStart w:id="1" w:name="_Hlk165470465"/>
      <w:r w:rsidRPr="00217C2A">
        <w:rPr>
          <w:rFonts w:eastAsia="Times New Roman" w:cstheme="minorHAnsi"/>
          <w:iCs/>
          <w:sz w:val="18"/>
          <w:szCs w:val="18"/>
          <w:vertAlign w:val="superscript"/>
        </w:rPr>
        <w:t>a</w:t>
      </w:r>
      <w:r w:rsidRPr="00217C2A">
        <w:rPr>
          <w:rFonts w:eastAsia="Times New Roman" w:cstheme="minorHAnsi"/>
          <w:iCs/>
          <w:sz w:val="18"/>
          <w:szCs w:val="18"/>
        </w:rPr>
        <w:t xml:space="preserve"> Centre for Chemistry and Biomedicine (CCB), Department of Pharmaceutical Technology, Institute of Pharmacy, University of Innsbruck, Innrain 80/82, 6020 Innsbruck, Austria</w:t>
      </w:r>
    </w:p>
    <w:p w14:paraId="6D2F7F27" w14:textId="77777777" w:rsidR="002D704F" w:rsidRPr="00217C2A" w:rsidRDefault="002D704F" w:rsidP="00C66C9F">
      <w:pPr>
        <w:spacing w:beforeLines="120" w:before="288" w:afterLines="120" w:after="288" w:line="360" w:lineRule="auto"/>
        <w:ind w:left="360"/>
        <w:rPr>
          <w:rFonts w:eastAsia="Times New Roman" w:cstheme="minorHAnsi"/>
          <w:iCs/>
          <w:sz w:val="18"/>
          <w:szCs w:val="18"/>
        </w:rPr>
      </w:pPr>
      <w:r w:rsidRPr="00217C2A">
        <w:rPr>
          <w:rFonts w:eastAsia="Times New Roman" w:cstheme="minorHAnsi"/>
          <w:iCs/>
          <w:sz w:val="18"/>
          <w:szCs w:val="18"/>
          <w:vertAlign w:val="superscript"/>
        </w:rPr>
        <w:t xml:space="preserve">b </w:t>
      </w:r>
      <w:r w:rsidRPr="00217C2A">
        <w:rPr>
          <w:rFonts w:eastAsia="Times New Roman" w:cstheme="minorHAnsi"/>
          <w:iCs/>
          <w:sz w:val="18"/>
          <w:szCs w:val="18"/>
        </w:rPr>
        <w:t>Institute of Food, Nutrition and Health, ETH Zürich, Schmelzbergstrasse 7, 8092 Zürich, Switzerland</w:t>
      </w:r>
    </w:p>
    <w:p w14:paraId="522DFA78" w14:textId="77777777" w:rsidR="002D704F" w:rsidRPr="00217C2A" w:rsidRDefault="002D704F" w:rsidP="00C66C9F">
      <w:pPr>
        <w:spacing w:beforeLines="120" w:before="288" w:afterLines="120" w:after="288" w:line="360" w:lineRule="auto"/>
        <w:ind w:left="360"/>
        <w:rPr>
          <w:rFonts w:eastAsia="Times New Roman" w:cstheme="minorHAnsi"/>
          <w:iCs/>
          <w:sz w:val="18"/>
          <w:szCs w:val="18"/>
        </w:rPr>
      </w:pPr>
      <w:r w:rsidRPr="00217C2A">
        <w:rPr>
          <w:rFonts w:eastAsia="Times New Roman" w:cstheme="minorHAnsi"/>
          <w:iCs/>
          <w:sz w:val="18"/>
          <w:szCs w:val="18"/>
          <w:vertAlign w:val="superscript"/>
        </w:rPr>
        <w:t>c</w:t>
      </w:r>
      <w:r w:rsidRPr="00217C2A">
        <w:rPr>
          <w:rFonts w:eastAsia="Times New Roman" w:cstheme="minorHAnsi"/>
          <w:iCs/>
          <w:sz w:val="18"/>
          <w:szCs w:val="18"/>
        </w:rPr>
        <w:t xml:space="preserve"> Biofilm Lab, Experimental Orthopedics, University Hospital for Orthopaedics and Traumatology, Medical University Innsbruck, Müllerstrasse 44, 1. Floor, 6020 Innsbruck, Austria</w:t>
      </w:r>
    </w:p>
    <w:p w14:paraId="48EEBECF" w14:textId="77777777" w:rsidR="002D704F" w:rsidRPr="00217C2A" w:rsidRDefault="002D704F" w:rsidP="00C66C9F">
      <w:pPr>
        <w:spacing w:beforeLines="120" w:before="288" w:afterLines="120" w:after="288" w:line="360" w:lineRule="auto"/>
        <w:ind w:left="360"/>
        <w:rPr>
          <w:rFonts w:eastAsia="Times New Roman" w:cstheme="minorHAnsi"/>
          <w:iCs/>
          <w:sz w:val="18"/>
          <w:szCs w:val="18"/>
        </w:rPr>
      </w:pPr>
      <w:r w:rsidRPr="00217C2A">
        <w:rPr>
          <w:rFonts w:eastAsia="Times New Roman" w:cstheme="minorHAnsi"/>
          <w:iCs/>
          <w:sz w:val="18"/>
          <w:szCs w:val="18"/>
          <w:vertAlign w:val="superscript"/>
        </w:rPr>
        <w:t>d</w:t>
      </w:r>
      <w:r w:rsidRPr="00217C2A">
        <w:rPr>
          <w:rFonts w:eastAsia="Times New Roman" w:cstheme="minorHAnsi"/>
          <w:iCs/>
          <w:sz w:val="18"/>
          <w:szCs w:val="18"/>
        </w:rPr>
        <w:t xml:space="preserve"> Department of Zoology, University of Innsbruck, 6020, Innsbruck, Austria</w:t>
      </w:r>
    </w:p>
    <w:p w14:paraId="0A1AF6A6" w14:textId="0E6F5AE7" w:rsidR="002D704F" w:rsidRPr="00217C2A" w:rsidRDefault="002D704F" w:rsidP="00C66C9F">
      <w:pPr>
        <w:spacing w:beforeLines="120" w:before="288" w:afterLines="120" w:after="288" w:line="360" w:lineRule="auto"/>
        <w:ind w:left="360"/>
        <w:rPr>
          <w:rFonts w:eastAsia="Times New Roman" w:cstheme="minorHAnsi"/>
          <w:iCs/>
          <w:sz w:val="18"/>
          <w:szCs w:val="18"/>
        </w:rPr>
      </w:pPr>
      <w:r w:rsidRPr="00217C2A">
        <w:rPr>
          <w:rFonts w:eastAsia="Times New Roman" w:cstheme="minorHAnsi"/>
          <w:iCs/>
          <w:sz w:val="18"/>
          <w:szCs w:val="18"/>
        </w:rPr>
        <w:t>†Andreas.Bernkop@uibk.ac.at</w:t>
      </w:r>
    </w:p>
    <w:bookmarkEnd w:id="1"/>
    <w:p w14:paraId="00C35D6A" w14:textId="77777777" w:rsidR="002D704F" w:rsidRPr="00217C2A" w:rsidRDefault="002D704F" w:rsidP="00C66C9F">
      <w:pPr>
        <w:pStyle w:val="RSCH02PaperAuthorsandByline"/>
        <w:spacing w:beforeLines="120" w:before="288" w:afterLines="120" w:after="288" w:line="360" w:lineRule="auto"/>
        <w:ind w:left="360"/>
        <w:jc w:val="center"/>
        <w:rPr>
          <w:rFonts w:cstheme="minorHAnsi"/>
          <w:sz w:val="18"/>
          <w:szCs w:val="18"/>
        </w:rPr>
      </w:pPr>
    </w:p>
    <w:p w14:paraId="473F978A" w14:textId="18D4176B" w:rsidR="002D704F" w:rsidRPr="00217C2A" w:rsidRDefault="002D704F" w:rsidP="00C66C9F">
      <w:pPr>
        <w:spacing w:beforeLines="120" w:before="288" w:afterLines="120" w:after="288" w:line="360" w:lineRule="auto"/>
        <w:ind w:left="360"/>
        <w:rPr>
          <w:rFonts w:cstheme="minorHAnsi"/>
          <w:b/>
          <w:bCs/>
          <w:sz w:val="18"/>
          <w:szCs w:val="18"/>
          <w:lang w:val="en-GB"/>
        </w:rPr>
      </w:pPr>
      <w:r w:rsidRPr="00217C2A">
        <w:rPr>
          <w:rFonts w:cstheme="minorHAnsi"/>
          <w:b/>
          <w:bCs/>
          <w:sz w:val="18"/>
          <w:szCs w:val="18"/>
          <w:lang w:val="en-GB"/>
        </w:rPr>
        <w:br w:type="page"/>
      </w:r>
    </w:p>
    <w:p w14:paraId="58DF844B" w14:textId="0526D3E7" w:rsidR="004602E1" w:rsidRPr="00217C2A" w:rsidRDefault="004602E1" w:rsidP="00C66C9F">
      <w:pPr>
        <w:spacing w:beforeLines="120" w:before="288" w:afterLines="120" w:after="288" w:line="360" w:lineRule="auto"/>
        <w:ind w:left="360"/>
        <w:jc w:val="both"/>
        <w:rPr>
          <w:rFonts w:cstheme="minorHAnsi"/>
          <w:i/>
          <w:iCs/>
          <w:sz w:val="18"/>
          <w:szCs w:val="18"/>
        </w:rPr>
      </w:pPr>
      <w:r w:rsidRPr="00217C2A">
        <w:rPr>
          <w:rFonts w:cstheme="minorHAnsi"/>
          <w:b/>
          <w:bCs/>
          <w:sz w:val="18"/>
          <w:szCs w:val="18"/>
        </w:rPr>
        <w:lastRenderedPageBreak/>
        <w:t xml:space="preserve">Methods/Experimental </w:t>
      </w:r>
    </w:p>
    <w:p w14:paraId="11E3156E"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Materials</w:t>
      </w:r>
    </w:p>
    <w:p w14:paraId="4FB9CAD1" w14:textId="77777777" w:rsidR="004602E1" w:rsidRPr="00217C2A" w:rsidRDefault="004602E1"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Sodium polyphosphate (PP, Graham’s salt, n = 25, Merck, Austria); glycerol 99.0% (Merck, Austria), alkaline phosphatase (Sigma Aldrich, Germany), p-nitrophenyl phosphate (Sigma Aldrich, Germany); MgCl</w:t>
      </w:r>
      <w:r w:rsidRPr="00217C2A">
        <w:rPr>
          <w:rFonts w:cstheme="minorHAnsi"/>
          <w:sz w:val="18"/>
          <w:szCs w:val="18"/>
          <w:vertAlign w:val="subscript"/>
        </w:rPr>
        <w:t>2</w:t>
      </w:r>
      <w:r w:rsidRPr="00217C2A">
        <w:rPr>
          <w:rFonts w:cstheme="minorHAnsi"/>
          <w:sz w:val="18"/>
          <w:szCs w:val="18"/>
        </w:rPr>
        <w:t xml:space="preserve"> (Sigma Aldrich, Germany) 2-amino-2methyl-1propanol (Merck, Austria); TrypLE </w:t>
      </w:r>
      <w:r w:rsidRPr="00217C2A">
        <w:rPr>
          <w:rFonts w:cstheme="minorHAnsi"/>
          <w:sz w:val="18"/>
          <w:szCs w:val="18"/>
          <w:vertAlign w:val="superscript"/>
        </w:rPr>
        <w:t>TM</w:t>
      </w:r>
      <w:r w:rsidRPr="00217C2A">
        <w:rPr>
          <w:rFonts w:cstheme="minorHAnsi"/>
          <w:sz w:val="18"/>
          <w:szCs w:val="18"/>
        </w:rPr>
        <w:t xml:space="preserve"> (Fisher Scientific, Germany); DNase I (Fisher Scientific, Germany), </w:t>
      </w:r>
      <w:r w:rsidRPr="00217C2A">
        <w:rPr>
          <w:rFonts w:eastAsia="Times New Roman" w:cstheme="minorHAnsi"/>
          <w:sz w:val="18"/>
          <w:szCs w:val="18"/>
        </w:rPr>
        <w:t xml:space="preserve">TSB (Carl Roth), </w:t>
      </w:r>
      <w:r w:rsidRPr="00217C2A">
        <w:rPr>
          <w:rFonts w:cstheme="minorHAnsi"/>
          <w:sz w:val="18"/>
          <w:szCs w:val="18"/>
        </w:rPr>
        <w:t>violet crystal (Merck, Austria) , NaIO</w:t>
      </w:r>
      <w:r w:rsidRPr="00217C2A">
        <w:rPr>
          <w:rFonts w:cstheme="minorHAnsi"/>
          <w:sz w:val="18"/>
          <w:szCs w:val="18"/>
          <w:vertAlign w:val="subscript"/>
        </w:rPr>
        <w:t xml:space="preserve">4 </w:t>
      </w:r>
      <w:r w:rsidRPr="00217C2A">
        <w:rPr>
          <w:rFonts w:cstheme="minorHAnsi"/>
          <w:sz w:val="18"/>
          <w:szCs w:val="18"/>
        </w:rPr>
        <w:t xml:space="preserve">(Merck, Austria); resazurin sodium salt (Merck, Austria);phosphate buffer solution (PBS, Fisher Scientific, Germany); inhouse made implant discs DIN9021, stainless steel A2. </w:t>
      </w:r>
    </w:p>
    <w:p w14:paraId="25A69410"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Microorganisms and Growth Conditions</w:t>
      </w:r>
    </w:p>
    <w:p w14:paraId="028ADF04" w14:textId="77777777" w:rsidR="004602E1" w:rsidRPr="00217C2A" w:rsidRDefault="004602E1" w:rsidP="00C66C9F">
      <w:pPr>
        <w:autoSpaceDE w:val="0"/>
        <w:autoSpaceDN w:val="0"/>
        <w:adjustRightInd w:val="0"/>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i/>
          <w:iCs/>
          <w:sz w:val="18"/>
          <w:szCs w:val="18"/>
        </w:rPr>
        <w:t>Staphylococcus aureus</w:t>
      </w:r>
      <w:r w:rsidRPr="00217C2A">
        <w:rPr>
          <w:rFonts w:eastAsia="Times New Roman" w:cstheme="minorHAnsi"/>
          <w:sz w:val="18"/>
          <w:szCs w:val="18"/>
        </w:rPr>
        <w:t xml:space="preserve"> ATCC 25923 (methicillin sensitive) was provided by the Biofilm Lab (Experimental Orthopaedics, Department of Orthopaedic Surgery, Medical University Innsbruck). Bacterial stock was stored at -20 °C in glycerol and grown in TSB (Carl Roth) at 37 °C under shaking.</w:t>
      </w:r>
    </w:p>
    <w:p w14:paraId="249A4E95"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Enzybiotics</w:t>
      </w:r>
    </w:p>
    <w:p w14:paraId="4EC57176" w14:textId="7B9EFE3D" w:rsidR="004602E1" w:rsidRPr="00217C2A" w:rsidRDefault="004602E1"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eastAsia="Times New Roman" w:cstheme="minorHAnsi"/>
          <w:sz w:val="18"/>
          <w:szCs w:val="18"/>
        </w:rPr>
        <w:t>Chimeric PGH</w:t>
      </w:r>
      <w:r w:rsidRPr="00217C2A">
        <w:rPr>
          <w:rFonts w:cstheme="minorHAnsi"/>
          <w:sz w:val="18"/>
          <w:szCs w:val="18"/>
        </w:rPr>
        <w:t xml:space="preserve"> M23LST(L)_SH3b2638A (M23) </w:t>
      </w:r>
      <w:r w:rsidRPr="00217C2A">
        <w:rPr>
          <w:rFonts w:eastAsia="Times New Roman" w:cstheme="minorHAnsi"/>
          <w:sz w:val="18"/>
          <w:szCs w:val="18"/>
        </w:rPr>
        <w:t xml:space="preserve">(27.414 KDa, M23) </w:t>
      </w:r>
      <w:r w:rsidRPr="00217C2A">
        <w:rPr>
          <w:rFonts w:cstheme="minorHAnsi"/>
          <w:sz w:val="18"/>
          <w:szCs w:val="18"/>
        </w:rPr>
        <w:t xml:space="preserve">is composed of an M23 endopeptidase domain from lysostaphin and an SH3b cell wall binding domain (CBD) from phage 2638A endolysin </w:t>
      </w:r>
      <w:r w:rsidRPr="00217C2A">
        <w:rPr>
          <w:rFonts w:cstheme="minorHAnsi"/>
          <w:sz w:val="18"/>
          <w:szCs w:val="18"/>
          <w:vertAlign w:val="superscript"/>
        </w:rPr>
        <w:t>1</w:t>
      </w:r>
      <w:r w:rsidRPr="00217C2A">
        <w:rPr>
          <w:rFonts w:cstheme="minorHAnsi"/>
          <w:sz w:val="18"/>
          <w:szCs w:val="18"/>
        </w:rPr>
        <w:t>. CHAPGH15_SH3bALE1 (</w:t>
      </w:r>
      <w:r w:rsidRPr="00217C2A">
        <w:rPr>
          <w:rFonts w:eastAsia="Times New Roman" w:cstheme="minorHAnsi"/>
          <w:sz w:val="18"/>
          <w:szCs w:val="18"/>
        </w:rPr>
        <w:t xml:space="preserve">29.964 KDa, </w:t>
      </w:r>
      <w:r w:rsidRPr="00217C2A">
        <w:rPr>
          <w:rFonts w:cstheme="minorHAnsi"/>
          <w:sz w:val="18"/>
          <w:szCs w:val="18"/>
        </w:rPr>
        <w:t xml:space="preserve">GH15), consists of a CHAP endopeptidase domain from LysGH15 and an SH3b CBD from ALE1 </w:t>
      </w:r>
      <w:r w:rsidRPr="00217C2A">
        <w:rPr>
          <w:rFonts w:cstheme="minorHAnsi"/>
          <w:sz w:val="18"/>
          <w:szCs w:val="18"/>
          <w:vertAlign w:val="superscript"/>
        </w:rPr>
        <w:t>1,2</w:t>
      </w:r>
      <w:r w:rsidRPr="00217C2A">
        <w:rPr>
          <w:rFonts w:cstheme="minorHAnsi"/>
          <w:sz w:val="18"/>
          <w:szCs w:val="18"/>
        </w:rPr>
        <w:t xml:space="preserve">. </w:t>
      </w:r>
    </w:p>
    <w:p w14:paraId="079EA9B7" w14:textId="04624685" w:rsidR="004602E1" w:rsidRPr="00217C2A" w:rsidRDefault="004602E1" w:rsidP="00C66C9F">
      <w:pPr>
        <w:autoSpaceDE w:val="0"/>
        <w:autoSpaceDN w:val="0"/>
        <w:adjustRightInd w:val="0"/>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 xml:space="preserve">Chimeric endolysins were expressed in </w:t>
      </w:r>
      <w:r w:rsidRPr="00217C2A">
        <w:rPr>
          <w:rFonts w:eastAsia="Times New Roman" w:cstheme="minorHAnsi"/>
          <w:i/>
          <w:iCs/>
          <w:sz w:val="18"/>
          <w:szCs w:val="18"/>
        </w:rPr>
        <w:t>E. coli</w:t>
      </w:r>
      <w:r w:rsidRPr="00217C2A">
        <w:rPr>
          <w:rFonts w:eastAsia="Times New Roman" w:cstheme="minorHAnsi"/>
          <w:sz w:val="18"/>
          <w:szCs w:val="18"/>
        </w:rPr>
        <w:t xml:space="preserve">, purified as previously described </w:t>
      </w:r>
      <w:r w:rsidRPr="00217C2A">
        <w:rPr>
          <w:rFonts w:cstheme="minorHAnsi"/>
          <w:sz w:val="18"/>
          <w:szCs w:val="18"/>
          <w:vertAlign w:val="superscript"/>
        </w:rPr>
        <w:t>3–5</w:t>
      </w:r>
      <w:r w:rsidRPr="00217C2A">
        <w:rPr>
          <w:rFonts w:eastAsia="Times New Roman" w:cstheme="minorHAnsi"/>
          <w:sz w:val="18"/>
          <w:szCs w:val="18"/>
        </w:rPr>
        <w:t>, and lyophilized. The fractions stored at -20 °C were resolubilized in water before the experiments.</w:t>
      </w:r>
    </w:p>
    <w:p w14:paraId="6CE18FE5" w14:textId="6E76DAD7" w:rsidR="004602E1" w:rsidRPr="00217C2A" w:rsidRDefault="004602E1" w:rsidP="00C66C9F">
      <w:pPr>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 xml:space="preserve">Calculation of protein parameters and in silico modelling was performed using Protparam tool and SWISS-MODEL from Expasy </w:t>
      </w:r>
      <w:r w:rsidRPr="00217C2A">
        <w:rPr>
          <w:rFonts w:cstheme="minorHAnsi"/>
          <w:sz w:val="18"/>
          <w:szCs w:val="18"/>
          <w:vertAlign w:val="superscript"/>
        </w:rPr>
        <w:t>6</w:t>
      </w:r>
      <w:r w:rsidRPr="00217C2A">
        <w:rPr>
          <w:rFonts w:eastAsia="Times New Roman" w:cstheme="minorHAnsi"/>
          <w:sz w:val="18"/>
          <w:szCs w:val="18"/>
        </w:rPr>
        <w:t>, while calculation of charge at different pH was performed using Protpi program (</w:t>
      </w:r>
      <w:hyperlink r:id="rId8" w:anchor="Results" w:history="1">
        <w:r w:rsidRPr="00217C2A">
          <w:rPr>
            <w:rFonts w:eastAsia="Times New Roman" w:cstheme="minorHAnsi"/>
            <w:sz w:val="18"/>
            <w:szCs w:val="18"/>
          </w:rPr>
          <w:t>https://www.protpi.ch/Calculator/ProteinTool#Results</w:t>
        </w:r>
      </w:hyperlink>
      <w:r w:rsidRPr="00217C2A">
        <w:rPr>
          <w:rFonts w:eastAsia="Times New Roman" w:cstheme="minorHAnsi"/>
          <w:sz w:val="18"/>
          <w:szCs w:val="18"/>
        </w:rPr>
        <w:t xml:space="preserve">). </w:t>
      </w:r>
    </w:p>
    <w:p w14:paraId="245A29CC" w14:textId="77777777" w:rsidR="004602E1" w:rsidRPr="00217C2A" w:rsidRDefault="004602E1" w:rsidP="00C66C9F">
      <w:pPr>
        <w:spacing w:beforeLines="120" w:before="288" w:afterLines="120" w:after="288" w:line="360" w:lineRule="auto"/>
        <w:ind w:left="360"/>
        <w:jc w:val="both"/>
        <w:rPr>
          <w:rFonts w:cstheme="minorHAnsi"/>
          <w:b/>
          <w:bCs/>
          <w:sz w:val="18"/>
          <w:szCs w:val="18"/>
        </w:rPr>
      </w:pPr>
      <w:bookmarkStart w:id="2" w:name="_Hlk171416716"/>
      <w:r w:rsidRPr="00217C2A">
        <w:rPr>
          <w:rFonts w:cstheme="minorHAnsi"/>
          <w:b/>
          <w:bCs/>
          <w:sz w:val="18"/>
          <w:szCs w:val="18"/>
        </w:rPr>
        <w:t>Polyphosphate Nanoparticles Formation and Characterization</w:t>
      </w:r>
    </w:p>
    <w:bookmarkEnd w:id="2"/>
    <w:p w14:paraId="32023646" w14:textId="34FEE4FD" w:rsidR="004602E1" w:rsidRPr="00217C2A" w:rsidRDefault="004602E1" w:rsidP="00C66C9F">
      <w:pPr>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Chimeric endolysins-PP NPs were obtained by ionotropic gelation, which is based on the electrostatic interactions of oppositely charged phage endolysins and PP</w:t>
      </w:r>
      <w:r w:rsidR="00C02B1E" w:rsidRPr="00217C2A">
        <w:rPr>
          <w:rFonts w:eastAsia="Times New Roman" w:cstheme="minorHAnsi"/>
          <w:sz w:val="18"/>
          <w:szCs w:val="18"/>
        </w:rPr>
        <w:t>.</w:t>
      </w:r>
      <w:r w:rsidRPr="00217C2A">
        <w:rPr>
          <w:rFonts w:eastAsia="Times New Roman" w:cstheme="minorHAnsi"/>
          <w:sz w:val="18"/>
          <w:szCs w:val="18"/>
        </w:rPr>
        <w:t xml:space="preserve"> </w:t>
      </w:r>
      <w:r w:rsidRPr="00217C2A">
        <w:rPr>
          <w:rFonts w:cstheme="minorHAnsi"/>
          <w:sz w:val="18"/>
          <w:szCs w:val="18"/>
          <w:vertAlign w:val="superscript"/>
        </w:rPr>
        <w:t>7</w:t>
      </w:r>
      <w:r w:rsidRPr="00217C2A">
        <w:rPr>
          <w:rFonts w:eastAsia="Times New Roman" w:cstheme="minorHAnsi"/>
          <w:sz w:val="18"/>
          <w:szCs w:val="18"/>
        </w:rPr>
        <w:t xml:space="preserve"> For this, PP, M23 and GH15 solutions were prepared in different concentrations and pHs as detailed in Table S1 and incubated for 15 minutes at 1000 rpm at 24 °C using a thermomixer (Eppendorf, Germany). Thereafter, 350 µl of solution of each chimeric endolysin was added dropwise to 350 µl solutions of PP and left under constant shaking for 10 minutes at these conditions.</w:t>
      </w:r>
    </w:p>
    <w:p w14:paraId="19E8F9FE" w14:textId="18D0F316" w:rsidR="004602E1" w:rsidRPr="00217C2A" w:rsidRDefault="004602E1" w:rsidP="00C66C9F">
      <w:pPr>
        <w:spacing w:beforeLines="120" w:before="288" w:afterLines="120" w:after="288" w:line="360" w:lineRule="auto"/>
        <w:ind w:left="360"/>
        <w:jc w:val="both"/>
        <w:rPr>
          <w:rFonts w:eastAsia="Times New Roman" w:cstheme="minorHAnsi"/>
          <w:sz w:val="18"/>
          <w:szCs w:val="18"/>
        </w:rPr>
      </w:pPr>
      <w:bookmarkStart w:id="3" w:name="_Hlk164099924"/>
      <w:r w:rsidRPr="00217C2A">
        <w:rPr>
          <w:rFonts w:eastAsia="Times New Roman" w:cstheme="minorHAnsi"/>
          <w:sz w:val="18"/>
          <w:szCs w:val="18"/>
        </w:rPr>
        <w:t xml:space="preserve">Mean dynamic particle size </w:t>
      </w:r>
      <w:bookmarkEnd w:id="3"/>
      <w:r w:rsidRPr="00217C2A">
        <w:rPr>
          <w:rFonts w:eastAsia="Times New Roman" w:cstheme="minorHAnsi"/>
          <w:sz w:val="18"/>
          <w:szCs w:val="18"/>
        </w:rPr>
        <w:t>(DS), size distribution and zeta potential of the obtained nanoparticles were obtained by dynamic and electrophoretic light scattering techniques using Zetasizer Nano (ZSP, Malvern Instruments, Worcestershire, UK). All measurements were performed at 24 °C in independent triplicates.</w:t>
      </w:r>
      <w:r w:rsidR="00AF2672" w:rsidRPr="00217C2A">
        <w:rPr>
          <w:rFonts w:eastAsia="Times New Roman" w:cstheme="minorHAnsi"/>
          <w:sz w:val="18"/>
          <w:szCs w:val="18"/>
        </w:rPr>
        <w:t xml:space="preserve"> </w:t>
      </w:r>
      <w:r w:rsidR="00032234" w:rsidRPr="00217C2A">
        <w:rPr>
          <w:rFonts w:eastAsia="Times New Roman" w:cstheme="minorHAnsi"/>
          <w:sz w:val="18"/>
          <w:szCs w:val="18"/>
        </w:rPr>
        <w:t xml:space="preserve">Data fitting algorithms and analysis </w:t>
      </w:r>
      <w:r w:rsidR="00AF2672" w:rsidRPr="00217C2A">
        <w:rPr>
          <w:rFonts w:eastAsia="Times New Roman" w:cstheme="minorHAnsi"/>
          <w:sz w:val="18"/>
          <w:szCs w:val="18"/>
          <w:vertAlign w:val="superscript"/>
        </w:rPr>
        <w:t>8</w:t>
      </w:r>
      <w:r w:rsidR="00032234" w:rsidRPr="00217C2A">
        <w:rPr>
          <w:rFonts w:eastAsia="Times New Roman" w:cstheme="minorHAnsi"/>
          <w:sz w:val="18"/>
          <w:szCs w:val="18"/>
        </w:rPr>
        <w:t xml:space="preserve"> was </w:t>
      </w:r>
      <w:r w:rsidR="009F54FC" w:rsidRPr="00217C2A">
        <w:rPr>
          <w:rFonts w:eastAsia="Times New Roman" w:cstheme="minorHAnsi"/>
          <w:sz w:val="18"/>
          <w:szCs w:val="18"/>
        </w:rPr>
        <w:t>provided by</w:t>
      </w:r>
      <w:r w:rsidR="00032234" w:rsidRPr="00217C2A">
        <w:rPr>
          <w:rFonts w:eastAsia="Times New Roman" w:cstheme="minorHAnsi"/>
          <w:sz w:val="18"/>
          <w:szCs w:val="18"/>
        </w:rPr>
        <w:t xml:space="preserve"> </w:t>
      </w:r>
      <w:r w:rsidR="00032234" w:rsidRPr="00217C2A">
        <w:rPr>
          <w:rFonts w:eastAsia="Times New Roman" w:cstheme="minorHAnsi"/>
          <w:sz w:val="18"/>
          <w:szCs w:val="18"/>
        </w:rPr>
        <w:lastRenderedPageBreak/>
        <w:t>Zetasizer Software 8.02 Copyright</w:t>
      </w:r>
      <w:r w:rsidR="004E71C0" w:rsidRPr="00217C2A">
        <w:rPr>
          <w:rFonts w:eastAsia="Times New Roman" w:cstheme="minorHAnsi"/>
          <w:sz w:val="18"/>
          <w:szCs w:val="18"/>
        </w:rPr>
        <w:t>©</w:t>
      </w:r>
      <w:r w:rsidR="00032234" w:rsidRPr="00217C2A">
        <w:rPr>
          <w:rFonts w:eastAsia="Times New Roman" w:cstheme="minorHAnsi"/>
          <w:sz w:val="18"/>
          <w:szCs w:val="18"/>
        </w:rPr>
        <w:t xml:space="preserve"> 2002-2021 Malvern Panalytical</w:t>
      </w:r>
      <w:r w:rsidR="004E71C0" w:rsidRPr="00217C2A">
        <w:rPr>
          <w:rFonts w:eastAsia="Times New Roman" w:cstheme="minorHAnsi"/>
          <w:sz w:val="18"/>
          <w:szCs w:val="18"/>
        </w:rPr>
        <w:t xml:space="preserve">. </w:t>
      </w:r>
      <w:r w:rsidR="007B401A" w:rsidRPr="00217C2A">
        <w:rPr>
          <w:rFonts w:eastAsia="Times New Roman" w:cstheme="minorHAnsi"/>
          <w:sz w:val="18"/>
          <w:szCs w:val="18"/>
        </w:rPr>
        <w:t>All the data used in this work meets</w:t>
      </w:r>
      <w:r w:rsidR="00DC2981" w:rsidRPr="00217C2A">
        <w:rPr>
          <w:rFonts w:eastAsia="Times New Roman" w:cstheme="minorHAnsi"/>
          <w:sz w:val="18"/>
          <w:szCs w:val="18"/>
        </w:rPr>
        <w:t xml:space="preserve"> the Malvern Instruments quality criteria for a measurement.</w:t>
      </w:r>
    </w:p>
    <w:p w14:paraId="19CB4198" w14:textId="77777777" w:rsidR="004602E1" w:rsidRPr="00217C2A" w:rsidRDefault="004602E1" w:rsidP="00C66C9F">
      <w:pPr>
        <w:spacing w:beforeLines="120" w:before="288" w:afterLines="120" w:after="288" w:line="360" w:lineRule="auto"/>
        <w:ind w:left="360"/>
        <w:jc w:val="both"/>
        <w:rPr>
          <w:rFonts w:eastAsia="Times New Roman" w:cstheme="minorHAnsi"/>
          <w:sz w:val="18"/>
          <w:szCs w:val="18"/>
        </w:rPr>
      </w:pPr>
      <w:bookmarkStart w:id="4" w:name="_Hlk162955894"/>
      <w:r w:rsidRPr="00217C2A">
        <w:rPr>
          <w:rFonts w:eastAsia="Times New Roman" w:cstheme="minorHAnsi"/>
          <w:sz w:val="18"/>
          <w:szCs w:val="18"/>
        </w:rPr>
        <w:t>Energy-filtered transmission electron microscopy (EFTEM) was used to visually confirm the presence PGH-PP NPs. For this, 5ul of each freshly prepared sample were mounted on a Formvar/carbon-coated copper grid (Balzers Union, Liechtenstein) of 200 mesh. After drying, samples were analysed with a Zeiss Libra 120 (Carl Zeiss AG, Oberkochen, Germany). Images were taken using a 2 x 2 k highspeed camera (Troendle, Germany) and ImageSP software (Troendle, Germany).</w:t>
      </w:r>
    </w:p>
    <w:bookmarkEnd w:id="4"/>
    <w:p w14:paraId="25A0202A"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Minimum Inhibitory Concentration (MIC) and Minimum Bactericidal Concentration (MBC)</w:t>
      </w:r>
    </w:p>
    <w:p w14:paraId="0AFEAABA" w14:textId="5ED58B3A" w:rsidR="004602E1" w:rsidRPr="00217C2A" w:rsidRDefault="004602E1"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 xml:space="preserve">Chimeric endolysins M23 and GH15, and their PP NPs were assayed for MIC against planktonic </w:t>
      </w:r>
      <w:r w:rsidRPr="00217C2A">
        <w:rPr>
          <w:rFonts w:cstheme="minorHAnsi"/>
          <w:i/>
          <w:iCs/>
          <w:sz w:val="18"/>
          <w:szCs w:val="18"/>
        </w:rPr>
        <w:t>S. aureus</w:t>
      </w:r>
      <w:r w:rsidRPr="00217C2A">
        <w:rPr>
          <w:rFonts w:cstheme="minorHAnsi"/>
          <w:sz w:val="18"/>
          <w:szCs w:val="18"/>
        </w:rPr>
        <w:t xml:space="preserve"> strains by the broth dilution method</w:t>
      </w:r>
      <w:r w:rsidR="00C02B1E" w:rsidRPr="00217C2A">
        <w:rPr>
          <w:rFonts w:cstheme="minorHAnsi"/>
          <w:sz w:val="18"/>
          <w:szCs w:val="18"/>
        </w:rPr>
        <w:t>.</w:t>
      </w:r>
      <w:r w:rsidRPr="00217C2A">
        <w:rPr>
          <w:rFonts w:cstheme="minorHAnsi"/>
          <w:sz w:val="18"/>
          <w:szCs w:val="18"/>
        </w:rPr>
        <w:t xml:space="preserve"> </w:t>
      </w:r>
      <w:r w:rsidR="008878EA" w:rsidRPr="00217C2A">
        <w:rPr>
          <w:rFonts w:cstheme="minorHAnsi"/>
          <w:sz w:val="18"/>
          <w:szCs w:val="18"/>
          <w:vertAlign w:val="superscript"/>
        </w:rPr>
        <w:t>9</w:t>
      </w:r>
      <w:r w:rsidRPr="00217C2A">
        <w:rPr>
          <w:rFonts w:cstheme="minorHAnsi"/>
          <w:sz w:val="18"/>
          <w:szCs w:val="18"/>
        </w:rPr>
        <w:t xml:space="preserve"> For this, 2-fold dilutions of the antimicrobials were seeded together with 10</w:t>
      </w:r>
      <w:r w:rsidRPr="00217C2A">
        <w:rPr>
          <w:rFonts w:cstheme="minorHAnsi"/>
          <w:sz w:val="18"/>
          <w:szCs w:val="18"/>
          <w:vertAlign w:val="superscript"/>
        </w:rPr>
        <w:t xml:space="preserve">5 </w:t>
      </w:r>
      <w:r w:rsidRPr="00217C2A">
        <w:rPr>
          <w:rFonts w:cstheme="minorHAnsi"/>
          <w:sz w:val="18"/>
          <w:szCs w:val="18"/>
        </w:rPr>
        <w:t xml:space="preserve">CFU/mL </w:t>
      </w:r>
      <w:r w:rsidRPr="00217C2A">
        <w:rPr>
          <w:rFonts w:cstheme="minorHAnsi"/>
          <w:i/>
          <w:sz w:val="18"/>
          <w:szCs w:val="18"/>
        </w:rPr>
        <w:t>S. aureus</w:t>
      </w:r>
      <w:r w:rsidRPr="00217C2A">
        <w:rPr>
          <w:rFonts w:cstheme="minorHAnsi"/>
          <w:sz w:val="18"/>
          <w:szCs w:val="18"/>
        </w:rPr>
        <w:t xml:space="preserve"> in a 96 well plate. Absorbance at 620 nm was measured after incubation (18-21 h at 37 °C). MIC was defined as the lowest endolysin concentration (nM) resulting in no turbidity. Thereafter, 100 µl of sample from wells showing no turbidity were plated on TSA and incubated (48 h at 37 °C). The concentration of endolysins (nM) reducing the bacteria by 99.9% was defined as the MBC</w:t>
      </w:r>
      <w:r w:rsidR="00C02B1E" w:rsidRPr="00217C2A">
        <w:rPr>
          <w:rFonts w:cstheme="minorHAnsi"/>
          <w:sz w:val="18"/>
          <w:szCs w:val="18"/>
        </w:rPr>
        <w:t>.</w:t>
      </w:r>
      <w:r w:rsidRPr="00217C2A">
        <w:rPr>
          <w:rFonts w:cstheme="minorHAnsi"/>
          <w:sz w:val="18"/>
          <w:szCs w:val="18"/>
        </w:rPr>
        <w:t xml:space="preserve"> </w:t>
      </w:r>
      <w:r w:rsidR="008878EA" w:rsidRPr="00217C2A">
        <w:rPr>
          <w:rFonts w:cstheme="minorHAnsi"/>
          <w:sz w:val="18"/>
          <w:szCs w:val="18"/>
          <w:vertAlign w:val="superscript"/>
        </w:rPr>
        <w:t>10</w:t>
      </w:r>
      <w:r w:rsidRPr="00217C2A">
        <w:rPr>
          <w:rFonts w:cstheme="minorHAnsi"/>
          <w:sz w:val="18"/>
          <w:szCs w:val="18"/>
        </w:rPr>
        <w:t xml:space="preserve"> </w:t>
      </w:r>
    </w:p>
    <w:p w14:paraId="66E84F46"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Technological Properties of NP Formulations</w:t>
      </w:r>
    </w:p>
    <w:p w14:paraId="793628FC" w14:textId="5F8B556D" w:rsidR="004602E1" w:rsidRPr="00217C2A" w:rsidRDefault="004602E1"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Freshly prepared endolysin-PP NPs were stored at 4 °C. At different time points, DS, zeta potential and MIC were determined. Cytotoxicity was evaluated via the resazurin assay as detailed elsewhere</w:t>
      </w:r>
      <w:r w:rsidR="008878EA" w:rsidRPr="00217C2A">
        <w:rPr>
          <w:rFonts w:cstheme="minorHAnsi"/>
          <w:sz w:val="18"/>
          <w:szCs w:val="18"/>
        </w:rPr>
        <w:t>.</w:t>
      </w:r>
      <w:r w:rsidRPr="00217C2A">
        <w:rPr>
          <w:rFonts w:cstheme="minorHAnsi"/>
          <w:sz w:val="18"/>
          <w:szCs w:val="18"/>
        </w:rPr>
        <w:t xml:space="preserve"> </w:t>
      </w:r>
      <w:r w:rsidRPr="00217C2A">
        <w:rPr>
          <w:rFonts w:cstheme="minorHAnsi"/>
          <w:sz w:val="18"/>
          <w:szCs w:val="18"/>
          <w:vertAlign w:val="superscript"/>
        </w:rPr>
        <w:t>1</w:t>
      </w:r>
      <w:r w:rsidR="008878EA" w:rsidRPr="00217C2A">
        <w:rPr>
          <w:rFonts w:cstheme="minorHAnsi"/>
          <w:sz w:val="18"/>
          <w:szCs w:val="18"/>
          <w:vertAlign w:val="superscript"/>
        </w:rPr>
        <w:t>1</w:t>
      </w:r>
      <w:r w:rsidR="008878EA" w:rsidRPr="00217C2A">
        <w:rPr>
          <w:rFonts w:cstheme="minorHAnsi"/>
          <w:sz w:val="18"/>
          <w:szCs w:val="18"/>
        </w:rPr>
        <w:t xml:space="preserve"> </w:t>
      </w:r>
      <w:r w:rsidRPr="00217C2A">
        <w:rPr>
          <w:rFonts w:cstheme="minorHAnsi"/>
          <w:sz w:val="18"/>
          <w:szCs w:val="18"/>
        </w:rPr>
        <w:t>Caco-2 (</w:t>
      </w:r>
      <w:r w:rsidR="00B54A2D" w:rsidRPr="00217C2A">
        <w:rPr>
          <w:rFonts w:cstheme="minorHAnsi"/>
          <w:sz w:val="18"/>
          <w:szCs w:val="18"/>
        </w:rPr>
        <w:t xml:space="preserve">immortalized cell line of </w:t>
      </w:r>
      <w:r w:rsidRPr="00217C2A">
        <w:rPr>
          <w:rFonts w:cstheme="minorHAnsi"/>
          <w:sz w:val="18"/>
          <w:szCs w:val="18"/>
        </w:rPr>
        <w:t xml:space="preserve">human colorectal adenocarcinoma) </w:t>
      </w:r>
      <w:r w:rsidR="00B54A2D" w:rsidRPr="00217C2A">
        <w:rPr>
          <w:rFonts w:cstheme="minorHAnsi"/>
          <w:sz w:val="18"/>
          <w:szCs w:val="18"/>
        </w:rPr>
        <w:t xml:space="preserve">and HeLa (immortalized cell line of human cervical carcinoma) </w:t>
      </w:r>
      <w:r w:rsidRPr="00217C2A">
        <w:rPr>
          <w:rFonts w:cstheme="minorHAnsi"/>
          <w:sz w:val="18"/>
          <w:szCs w:val="18"/>
        </w:rPr>
        <w:t>were seeded (2 × 10</w:t>
      </w:r>
      <w:r w:rsidR="00940740" w:rsidRPr="00217C2A">
        <w:rPr>
          <w:rFonts w:cstheme="minorHAnsi"/>
          <w:sz w:val="18"/>
          <w:szCs w:val="18"/>
          <w:vertAlign w:val="superscript"/>
        </w:rPr>
        <w:t>4</w:t>
      </w:r>
      <w:r w:rsidRPr="00217C2A">
        <w:rPr>
          <w:rFonts w:cstheme="minorHAnsi"/>
          <w:sz w:val="18"/>
          <w:szCs w:val="18"/>
        </w:rPr>
        <w:t xml:space="preserve"> cells/well) in a 96 well plates and grown to 90-100% confluency at 37 °C under 5 % CO2 and 95 % relative humidity. PBS was used for application of free PGHs and PGH-PP in five replicates, reaching final concentrations of PGHs of 312.5, 156.3, 78.3, 39.1 nM. Buffer only served as positive control, while a 0.1% Triton X-100 solution served as negative control. After 2 h of incubation, samples were removed and 100 µl of an 8.8 µM resazurin solution was applied to each well. After 2 h of incubation at the above-mentioned conditions, fluorescence (λ</w:t>
      </w:r>
      <w:r w:rsidRPr="00217C2A">
        <w:rPr>
          <w:rFonts w:cstheme="minorHAnsi"/>
          <w:sz w:val="18"/>
          <w:szCs w:val="18"/>
          <w:vertAlign w:val="subscript"/>
        </w:rPr>
        <w:t>Ex</w:t>
      </w:r>
      <w:r w:rsidRPr="00217C2A">
        <w:rPr>
          <w:rFonts w:cstheme="minorHAnsi"/>
          <w:sz w:val="18"/>
          <w:szCs w:val="18"/>
        </w:rPr>
        <w:t xml:space="preserve"> 540 nm, λ</w:t>
      </w:r>
      <w:r w:rsidRPr="00217C2A">
        <w:rPr>
          <w:rFonts w:cstheme="minorHAnsi"/>
          <w:sz w:val="18"/>
          <w:szCs w:val="18"/>
          <w:vertAlign w:val="subscript"/>
        </w:rPr>
        <w:t>Em</w:t>
      </w:r>
      <w:r w:rsidRPr="00217C2A">
        <w:rPr>
          <w:rFonts w:cstheme="minorHAnsi"/>
          <w:sz w:val="18"/>
          <w:szCs w:val="18"/>
        </w:rPr>
        <w:t xml:space="preserve"> 590 nm) was determined using Tecan Spark microplate reader. Cell viability was calculated using Equation (1). </w:t>
      </w:r>
    </w:p>
    <w:p w14:paraId="2DCF55B7" w14:textId="7777777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p>
    <w:p w14:paraId="0618253A" w14:textId="7777777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sz w:val="18"/>
          <w:szCs w:val="18"/>
        </w:rPr>
        <w:t xml:space="preserve">  </w:t>
      </w:r>
      <m:oMath>
        <m:r>
          <m:rPr>
            <m:sty m:val="p"/>
          </m:rPr>
          <w:rPr>
            <w:rFonts w:ascii="Cambria Math" w:hAnsi="Cambria Math" w:cstheme="minorHAnsi"/>
            <w:sz w:val="18"/>
            <w:szCs w:val="18"/>
          </w:rPr>
          <m:t>Cell viability (%) =</m:t>
        </m:r>
        <m:f>
          <m:fPr>
            <m:ctrlPr>
              <w:rPr>
                <w:rFonts w:ascii="Cambria Math" w:hAnsi="Cambria Math" w:cstheme="minorHAnsi"/>
                <w:sz w:val="18"/>
                <w:szCs w:val="18"/>
              </w:rPr>
            </m:ctrlPr>
          </m:fPr>
          <m:num>
            <m:r>
              <m:rPr>
                <m:sty m:val="p"/>
              </m:rPr>
              <w:rPr>
                <w:rFonts w:ascii="Cambria Math" w:hAnsi="Cambria Math" w:cstheme="minorHAnsi"/>
                <w:sz w:val="18"/>
                <w:szCs w:val="18"/>
              </w:rPr>
              <m:t>Intensity(Sample) - Intensity(Negative control)</m:t>
            </m:r>
          </m:num>
          <m:den>
            <m:r>
              <m:rPr>
                <m:sty m:val="p"/>
              </m:rPr>
              <w:rPr>
                <w:rFonts w:ascii="Cambria Math" w:hAnsi="Cambria Math" w:cstheme="minorHAnsi"/>
                <w:sz w:val="18"/>
                <w:szCs w:val="18"/>
              </w:rPr>
              <m:t>Intensity</m:t>
            </m:r>
            <m:d>
              <m:dPr>
                <m:ctrlPr>
                  <w:rPr>
                    <w:rFonts w:ascii="Cambria Math" w:hAnsi="Cambria Math" w:cstheme="minorHAnsi"/>
                    <w:sz w:val="18"/>
                    <w:szCs w:val="18"/>
                  </w:rPr>
                </m:ctrlPr>
              </m:dPr>
              <m:e>
                <m:r>
                  <m:rPr>
                    <m:sty m:val="p"/>
                  </m:rPr>
                  <w:rPr>
                    <w:rFonts w:ascii="Cambria Math" w:hAnsi="Cambria Math" w:cstheme="minorHAnsi"/>
                    <w:sz w:val="18"/>
                    <w:szCs w:val="18"/>
                  </w:rPr>
                  <m:t>Positive control</m:t>
                </m:r>
              </m:e>
            </m:d>
            <m:r>
              <m:rPr>
                <m:sty m:val="p"/>
              </m:rPr>
              <w:rPr>
                <w:rFonts w:ascii="Cambria Math" w:hAnsi="Cambria Math" w:cstheme="minorHAnsi"/>
                <w:sz w:val="18"/>
                <w:szCs w:val="18"/>
              </w:rPr>
              <m:t xml:space="preserve">-Intensity(Negative control) </m:t>
            </m:r>
          </m:den>
        </m:f>
        <m:r>
          <m:rPr>
            <m:sty m:val="p"/>
          </m:rPr>
          <w:rPr>
            <w:rFonts w:ascii="Cambria Math" w:hAnsi="Cambria Math" w:cstheme="minorHAnsi"/>
            <w:sz w:val="18"/>
            <w:szCs w:val="18"/>
          </w:rPr>
          <m:t>×100%</m:t>
        </m:r>
      </m:oMath>
      <w:r w:rsidRPr="00217C2A">
        <w:rPr>
          <w:rFonts w:asciiTheme="minorHAnsi" w:hAnsiTheme="minorHAnsi" w:cstheme="minorHAnsi"/>
          <w:sz w:val="18"/>
          <w:szCs w:val="18"/>
        </w:rPr>
        <w:t>.</w:t>
      </w:r>
    </w:p>
    <w:p w14:paraId="6758CA14" w14:textId="7777777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sz w:val="18"/>
          <w:szCs w:val="18"/>
        </w:rPr>
        <w:t>Stability to serine protease activity was determined using TrypLE</w:t>
      </w:r>
      <w:r w:rsidRPr="00217C2A">
        <w:rPr>
          <w:rFonts w:asciiTheme="minorHAnsi" w:hAnsiTheme="minorHAnsi" w:cstheme="minorHAnsi"/>
          <w:sz w:val="18"/>
          <w:szCs w:val="18"/>
          <w:vertAlign w:val="superscript"/>
        </w:rPr>
        <w:t>TM</w:t>
      </w:r>
      <w:r w:rsidRPr="00217C2A">
        <w:rPr>
          <w:rFonts w:asciiTheme="minorHAnsi" w:hAnsiTheme="minorHAnsi" w:cstheme="minorHAnsi"/>
          <w:sz w:val="18"/>
          <w:szCs w:val="18"/>
        </w:rPr>
        <w:t xml:space="preserve"> recombinant enzyme as a surrogate. M23 enzyme was used for this experiment, given its low MIC compared to GH15 and its initial nanoscale size. 625 nM M23-PP NPs and free M23 were treated for 20 minutes at 37 °C with TrypLE and heat inactivated TrypLE in a ratio of 1:2 (final concentration 312.5 nM). Thereafter, MIC was determined for all the samples. </w:t>
      </w:r>
    </w:p>
    <w:p w14:paraId="544D6151"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Establishment of Biofilm in Implants</w:t>
      </w:r>
    </w:p>
    <w:p w14:paraId="379B4A86" w14:textId="7777777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sz w:val="18"/>
          <w:szCs w:val="18"/>
        </w:rPr>
        <w:lastRenderedPageBreak/>
        <w:t xml:space="preserve">Three colonies of </w:t>
      </w:r>
      <w:r w:rsidRPr="00217C2A">
        <w:rPr>
          <w:rFonts w:asciiTheme="minorHAnsi" w:hAnsiTheme="minorHAnsi" w:cstheme="minorHAnsi"/>
          <w:i/>
          <w:iCs/>
          <w:sz w:val="18"/>
          <w:szCs w:val="18"/>
        </w:rPr>
        <w:t>S. aureus</w:t>
      </w:r>
      <w:r w:rsidRPr="00217C2A">
        <w:rPr>
          <w:rFonts w:asciiTheme="minorHAnsi" w:hAnsiTheme="minorHAnsi" w:cstheme="minorHAnsi"/>
          <w:sz w:val="18"/>
          <w:szCs w:val="18"/>
        </w:rPr>
        <w:t xml:space="preserve"> ATCC 25923 were inoculated in TSB and grown overnight during 18-24 h at 37 °C, under shaking. The culture was transferred to TSB and incubated for 1 h to reach exponential growth at 37 °C, under shaking. After this, 16 pieces of stainless-steel implant samples (141.3 mm</w:t>
      </w:r>
      <w:r w:rsidRPr="00217C2A">
        <w:rPr>
          <w:rFonts w:asciiTheme="minorHAnsi" w:hAnsiTheme="minorHAnsi" w:cstheme="minorHAnsi"/>
          <w:sz w:val="18"/>
          <w:szCs w:val="18"/>
          <w:vertAlign w:val="superscript"/>
        </w:rPr>
        <w:t>2</w:t>
      </w:r>
      <w:r w:rsidRPr="00217C2A">
        <w:rPr>
          <w:rFonts w:asciiTheme="minorHAnsi" w:hAnsiTheme="minorHAnsi" w:cstheme="minorHAnsi"/>
          <w:sz w:val="18"/>
          <w:szCs w:val="18"/>
        </w:rPr>
        <w:t xml:space="preserve">) were placed in a 6 well plate and inoculated with 3 ml TSB supplemented with glucose (1%) containing </w:t>
      </w:r>
      <w:r w:rsidRPr="00217C2A">
        <w:rPr>
          <w:rFonts w:asciiTheme="minorHAnsi" w:hAnsiTheme="minorHAnsi" w:cstheme="minorHAnsi"/>
          <w:i/>
          <w:iCs/>
          <w:sz w:val="18"/>
          <w:szCs w:val="18"/>
        </w:rPr>
        <w:t xml:space="preserve">ca. </w:t>
      </w:r>
      <w:r w:rsidRPr="00217C2A">
        <w:rPr>
          <w:rFonts w:asciiTheme="minorHAnsi" w:hAnsiTheme="minorHAnsi" w:cstheme="minorHAnsi"/>
          <w:sz w:val="18"/>
          <w:szCs w:val="18"/>
        </w:rPr>
        <w:t>10</w:t>
      </w:r>
      <w:r w:rsidRPr="00217C2A">
        <w:rPr>
          <w:rFonts w:asciiTheme="minorHAnsi" w:hAnsiTheme="minorHAnsi" w:cstheme="minorHAnsi"/>
          <w:sz w:val="18"/>
          <w:szCs w:val="18"/>
          <w:vertAlign w:val="superscript"/>
        </w:rPr>
        <w:t>5</w:t>
      </w:r>
      <w:r w:rsidRPr="00217C2A">
        <w:rPr>
          <w:rFonts w:asciiTheme="minorHAnsi" w:hAnsiTheme="minorHAnsi" w:cstheme="minorHAnsi"/>
          <w:sz w:val="18"/>
          <w:szCs w:val="18"/>
        </w:rPr>
        <w:t xml:space="preserve"> CFU/ml. This setup was incubated at 37 °C, under shaking at 100 rpm for 18-21 h. Unless indicated otherwise, the implants with grown biofilm were deeply rinsed with physiological solution to remove planktonic bacteria. Implant samples grouped in 4 pieces were assessed for biomass, AP activity, and counting according to the description given below. </w:t>
      </w:r>
    </w:p>
    <w:p w14:paraId="5B86D84F"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Alkaline Phosphatase (AP) Activity</w:t>
      </w:r>
    </w:p>
    <w:p w14:paraId="5F254289" w14:textId="7777777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sz w:val="18"/>
          <w:szCs w:val="18"/>
        </w:rPr>
        <w:t>AP activity in biofilm was determined colorimetrically by the hydrolysis of p-nitrophenyl phosphate in buffer containing MgCl</w:t>
      </w:r>
      <w:r w:rsidRPr="00217C2A">
        <w:rPr>
          <w:rFonts w:asciiTheme="minorHAnsi" w:hAnsiTheme="minorHAnsi" w:cstheme="minorHAnsi"/>
          <w:sz w:val="18"/>
          <w:szCs w:val="18"/>
          <w:vertAlign w:val="subscript"/>
        </w:rPr>
        <w:t>2</w:t>
      </w:r>
      <w:r w:rsidRPr="00217C2A">
        <w:rPr>
          <w:rFonts w:asciiTheme="minorHAnsi" w:hAnsiTheme="minorHAnsi" w:cstheme="minorHAnsi"/>
          <w:sz w:val="18"/>
          <w:szCs w:val="18"/>
        </w:rPr>
        <w:t xml:space="preserve"> (5 µM) and 2-amino-2-methyl-1-propanol (0.5 M) (pH 9) (D. To </w:t>
      </w:r>
      <w:r w:rsidRPr="00217C2A">
        <w:rPr>
          <w:rFonts w:asciiTheme="minorHAnsi" w:hAnsiTheme="minorHAnsi" w:cstheme="minorHAnsi"/>
          <w:i/>
          <w:iCs/>
          <w:sz w:val="18"/>
          <w:szCs w:val="18"/>
        </w:rPr>
        <w:t>et al.</w:t>
      </w:r>
      <w:r w:rsidRPr="00217C2A">
        <w:rPr>
          <w:rFonts w:asciiTheme="minorHAnsi" w:hAnsiTheme="minorHAnsi" w:cstheme="minorHAnsi"/>
          <w:sz w:val="18"/>
          <w:szCs w:val="18"/>
        </w:rPr>
        <w:t xml:space="preserve"> unpublished experiments). A calibration curve using AP was performed. All samples were incubated with the substrate for 1 h at 37 °C. Absorbance was measured in triplicate at 450 nm. </w:t>
      </w:r>
    </w:p>
    <w:p w14:paraId="33767AEE"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Cell Counting</w:t>
      </w:r>
    </w:p>
    <w:p w14:paraId="6356CB49" w14:textId="1BDC1A4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sz w:val="18"/>
          <w:szCs w:val="18"/>
        </w:rPr>
        <w:t>Implant samples were incubated with TrypLE at 37 °C for 15 minutes under shaking</w:t>
      </w:r>
      <w:r w:rsidR="00FA2F86" w:rsidRPr="00217C2A">
        <w:rPr>
          <w:rFonts w:asciiTheme="minorHAnsi" w:hAnsiTheme="minorHAnsi" w:cstheme="minorHAnsi"/>
          <w:sz w:val="18"/>
          <w:szCs w:val="18"/>
        </w:rPr>
        <w:t>.</w:t>
      </w:r>
      <w:r w:rsidRPr="00217C2A">
        <w:rPr>
          <w:rFonts w:asciiTheme="minorHAnsi" w:hAnsiTheme="minorHAnsi" w:cstheme="minorHAnsi"/>
          <w:sz w:val="18"/>
          <w:szCs w:val="18"/>
        </w:rPr>
        <w:t xml:space="preserve"> </w:t>
      </w:r>
      <w:r w:rsidRPr="00217C2A">
        <w:rPr>
          <w:rFonts w:asciiTheme="minorHAnsi" w:hAnsiTheme="minorHAnsi" w:cstheme="minorHAnsi"/>
          <w:sz w:val="18"/>
          <w:szCs w:val="18"/>
          <w:vertAlign w:val="superscript"/>
        </w:rPr>
        <w:t>1</w:t>
      </w:r>
      <w:r w:rsidR="00FA2F86" w:rsidRPr="00217C2A">
        <w:rPr>
          <w:rFonts w:asciiTheme="minorHAnsi" w:hAnsiTheme="minorHAnsi" w:cstheme="minorHAnsi"/>
          <w:sz w:val="18"/>
          <w:szCs w:val="18"/>
          <w:vertAlign w:val="superscript"/>
        </w:rPr>
        <w:t>2</w:t>
      </w:r>
      <w:r w:rsidRPr="00217C2A">
        <w:rPr>
          <w:rFonts w:asciiTheme="minorHAnsi" w:hAnsiTheme="minorHAnsi" w:cstheme="minorHAnsi"/>
          <w:sz w:val="18"/>
          <w:szCs w:val="18"/>
        </w:rPr>
        <w:t xml:space="preserve"> TSB was added, thoroughly vortexed, and dilutions (10</w:t>
      </w:r>
      <w:r w:rsidRPr="00217C2A">
        <w:rPr>
          <w:rFonts w:asciiTheme="minorHAnsi" w:hAnsiTheme="minorHAnsi" w:cstheme="minorHAnsi"/>
          <w:sz w:val="18"/>
          <w:szCs w:val="18"/>
          <w:vertAlign w:val="superscript"/>
        </w:rPr>
        <w:t>-1</w:t>
      </w:r>
      <w:r w:rsidRPr="00217C2A">
        <w:rPr>
          <w:rFonts w:asciiTheme="minorHAnsi" w:hAnsiTheme="minorHAnsi" w:cstheme="minorHAnsi"/>
          <w:sz w:val="18"/>
          <w:szCs w:val="18"/>
        </w:rPr>
        <w:t>10</w:t>
      </w:r>
      <w:r w:rsidRPr="00217C2A">
        <w:rPr>
          <w:rFonts w:asciiTheme="minorHAnsi" w:hAnsiTheme="minorHAnsi" w:cstheme="minorHAnsi"/>
          <w:sz w:val="18"/>
          <w:szCs w:val="18"/>
          <w:vertAlign w:val="superscript"/>
        </w:rPr>
        <w:t>-8</w:t>
      </w:r>
      <w:r w:rsidRPr="00217C2A">
        <w:rPr>
          <w:rFonts w:asciiTheme="minorHAnsi" w:hAnsiTheme="minorHAnsi" w:cstheme="minorHAnsi"/>
          <w:sz w:val="18"/>
          <w:szCs w:val="18"/>
        </w:rPr>
        <w:t>) were plated on TSA. Cells were counted after 48 h incubation at 37 °C and expressed as colony forming units (CFU) per cm</w:t>
      </w:r>
      <w:r w:rsidRPr="00217C2A">
        <w:rPr>
          <w:rFonts w:asciiTheme="minorHAnsi" w:hAnsiTheme="minorHAnsi" w:cstheme="minorHAnsi"/>
          <w:sz w:val="18"/>
          <w:szCs w:val="18"/>
          <w:vertAlign w:val="superscript"/>
        </w:rPr>
        <w:t>2</w:t>
      </w:r>
      <w:r w:rsidRPr="00217C2A">
        <w:rPr>
          <w:rFonts w:asciiTheme="minorHAnsi" w:hAnsiTheme="minorHAnsi" w:cstheme="minorHAnsi"/>
          <w:sz w:val="18"/>
          <w:szCs w:val="18"/>
        </w:rPr>
        <w:t xml:space="preserve"> of implant surface.</w:t>
      </w:r>
    </w:p>
    <w:p w14:paraId="13C18CA9"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SEM Analyses</w:t>
      </w:r>
    </w:p>
    <w:p w14:paraId="033DDA68" w14:textId="77B8BA96"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i/>
          <w:iCs/>
          <w:sz w:val="18"/>
          <w:szCs w:val="18"/>
        </w:rPr>
        <w:t>S. aureus</w:t>
      </w:r>
      <w:r w:rsidRPr="00217C2A">
        <w:rPr>
          <w:rFonts w:asciiTheme="minorHAnsi" w:hAnsiTheme="minorHAnsi" w:cstheme="minorHAnsi"/>
          <w:sz w:val="18"/>
          <w:szCs w:val="18"/>
        </w:rPr>
        <w:t xml:space="preserve"> ATCC 25923 biofilms grown on sterile stainless-steel disc were morphologically characterized using SEM before and after treatments with water (control), PGHs and PGH-PP NPs. First, samples were fixed for 24 h at 4 °C in 2 ml of glutaraldehyde 2.5%. Dehydration process after fixation was performed with an ascending alcohol series (50%–70%–80%–99.9% ethanol). Each step lasted 5 min. The dried samples were mounted on aluminium pins using carbon adhesives. The pins were sputtered with Au using an automatic sputter coater (Agar Scientific Ltd, Stansted, UK) for 45 seconds and analysed by scanning electron microscopy (SEM, JSM-6010LV, JEOL GmbH, Freising, Germany)</w:t>
      </w:r>
      <w:r w:rsidR="00DD0231" w:rsidRPr="00217C2A">
        <w:rPr>
          <w:rFonts w:asciiTheme="minorHAnsi" w:hAnsiTheme="minorHAnsi" w:cstheme="minorHAnsi"/>
          <w:sz w:val="18"/>
          <w:szCs w:val="18"/>
        </w:rPr>
        <w:t>.</w:t>
      </w:r>
      <w:r w:rsidRPr="00217C2A">
        <w:rPr>
          <w:rFonts w:asciiTheme="minorHAnsi" w:hAnsiTheme="minorHAnsi" w:cstheme="minorHAnsi"/>
          <w:sz w:val="18"/>
          <w:szCs w:val="18"/>
        </w:rPr>
        <w:t xml:space="preserve"> </w:t>
      </w:r>
      <w:r w:rsidRPr="00217C2A">
        <w:rPr>
          <w:rFonts w:asciiTheme="minorHAnsi" w:hAnsiTheme="minorHAnsi" w:cstheme="minorHAnsi"/>
          <w:sz w:val="18"/>
          <w:szCs w:val="18"/>
          <w:vertAlign w:val="superscript"/>
        </w:rPr>
        <w:t>1</w:t>
      </w:r>
      <w:r w:rsidR="00DD0231" w:rsidRPr="00217C2A">
        <w:rPr>
          <w:rFonts w:asciiTheme="minorHAnsi" w:hAnsiTheme="minorHAnsi" w:cstheme="minorHAnsi"/>
          <w:sz w:val="18"/>
          <w:szCs w:val="18"/>
          <w:vertAlign w:val="superscript"/>
        </w:rPr>
        <w:t>3</w:t>
      </w:r>
    </w:p>
    <w:p w14:paraId="76F0854B"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Time-Kill Assay</w:t>
      </w:r>
    </w:p>
    <w:p w14:paraId="04369353" w14:textId="77777777" w:rsidR="004602E1" w:rsidRPr="00217C2A" w:rsidRDefault="004602E1" w:rsidP="00C66C9F">
      <w:pPr>
        <w:pStyle w:val="TAMainText"/>
        <w:spacing w:beforeLines="120" w:before="288" w:afterLines="120" w:after="288" w:line="360" w:lineRule="auto"/>
        <w:ind w:left="360" w:firstLine="0"/>
        <w:rPr>
          <w:rFonts w:asciiTheme="minorHAnsi" w:hAnsiTheme="minorHAnsi" w:cstheme="minorHAnsi"/>
          <w:sz w:val="18"/>
          <w:szCs w:val="18"/>
        </w:rPr>
      </w:pPr>
      <w:r w:rsidRPr="00217C2A">
        <w:rPr>
          <w:rFonts w:asciiTheme="minorHAnsi" w:hAnsiTheme="minorHAnsi" w:cstheme="minorHAnsi"/>
          <w:sz w:val="18"/>
          <w:szCs w:val="18"/>
        </w:rPr>
        <w:t xml:space="preserve">The biofilm formed on implant surface was treated with water or HCl 0.02 M (control), free chimeric endolysins or the respective PGH-PP NPs. At time 0, and after 1 h, 2 h and 4 h of treatment all samples were assessed by cell counting in 2 replicates. The times producing the highest decreases in bacterial counts were repeated in a second independent replicate and assessed for SEM imaging, and AP activity. </w:t>
      </w:r>
    </w:p>
    <w:p w14:paraId="3CBE921F"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Enzyme-Triggered Release</w:t>
      </w:r>
    </w:p>
    <w:p w14:paraId="75F88739" w14:textId="77777777" w:rsidR="004602E1" w:rsidRPr="00217C2A" w:rsidRDefault="004602E1" w:rsidP="00C66C9F">
      <w:pPr>
        <w:spacing w:beforeLines="120" w:before="288" w:afterLines="120" w:after="288" w:line="360" w:lineRule="auto"/>
        <w:ind w:left="360"/>
        <w:jc w:val="both"/>
        <w:rPr>
          <w:rFonts w:cstheme="minorHAnsi"/>
          <w:sz w:val="18"/>
          <w:szCs w:val="18"/>
        </w:rPr>
      </w:pPr>
      <w:r w:rsidRPr="00217C2A">
        <w:rPr>
          <w:rFonts w:cstheme="minorHAnsi"/>
          <w:i/>
          <w:iCs/>
          <w:sz w:val="18"/>
          <w:szCs w:val="18"/>
        </w:rPr>
        <w:lastRenderedPageBreak/>
        <w:t>S. aureus</w:t>
      </w:r>
      <w:r w:rsidRPr="00217C2A">
        <w:rPr>
          <w:rFonts w:cstheme="minorHAnsi"/>
          <w:sz w:val="18"/>
          <w:szCs w:val="18"/>
        </w:rPr>
        <w:t xml:space="preserve"> ATCC 25923 </w:t>
      </w:r>
      <w:proofErr w:type="gramStart"/>
      <w:r w:rsidRPr="00217C2A">
        <w:rPr>
          <w:rFonts w:cstheme="minorHAnsi"/>
          <w:sz w:val="18"/>
          <w:szCs w:val="18"/>
        </w:rPr>
        <w:t>biofilm</w:t>
      </w:r>
      <w:proofErr w:type="gramEnd"/>
      <w:r w:rsidRPr="00217C2A">
        <w:rPr>
          <w:rFonts w:cstheme="minorHAnsi"/>
          <w:sz w:val="18"/>
          <w:szCs w:val="18"/>
        </w:rPr>
        <w:t xml:space="preserve"> grown on an implant surface was treated for 1 h with sterile inorganic phosphate buffer (P</w:t>
      </w:r>
      <w:r w:rsidRPr="00217C2A">
        <w:rPr>
          <w:rFonts w:cstheme="minorHAnsi"/>
          <w:sz w:val="18"/>
          <w:szCs w:val="18"/>
          <w:vertAlign w:val="subscript"/>
        </w:rPr>
        <w:t>i</w:t>
      </w:r>
      <w:r w:rsidRPr="00217C2A">
        <w:rPr>
          <w:rFonts w:cstheme="minorHAnsi"/>
          <w:sz w:val="18"/>
          <w:szCs w:val="18"/>
        </w:rPr>
        <w:t>) at isotonic concentration (NaH</w:t>
      </w:r>
      <w:r w:rsidRPr="00217C2A">
        <w:rPr>
          <w:rFonts w:cstheme="minorHAnsi"/>
          <w:sz w:val="18"/>
          <w:szCs w:val="18"/>
          <w:vertAlign w:val="subscript"/>
        </w:rPr>
        <w:t>2</w:t>
      </w:r>
      <w:r w:rsidRPr="00217C2A">
        <w:rPr>
          <w:rFonts w:cstheme="minorHAnsi"/>
          <w:sz w:val="18"/>
          <w:szCs w:val="18"/>
        </w:rPr>
        <w:t>PO</w:t>
      </w:r>
      <w:r w:rsidRPr="00217C2A">
        <w:rPr>
          <w:rFonts w:cstheme="minorHAnsi"/>
          <w:sz w:val="18"/>
          <w:szCs w:val="18"/>
          <w:vertAlign w:val="subscript"/>
        </w:rPr>
        <w:t>4</w:t>
      </w:r>
      <w:r w:rsidRPr="00217C2A">
        <w:rPr>
          <w:rFonts w:cstheme="minorHAnsi"/>
          <w:sz w:val="18"/>
          <w:szCs w:val="18"/>
        </w:rPr>
        <w:t xml:space="preserve"> 0.11642 M and Na</w:t>
      </w:r>
      <w:r w:rsidRPr="00217C2A">
        <w:rPr>
          <w:rFonts w:cstheme="minorHAnsi"/>
          <w:sz w:val="18"/>
          <w:szCs w:val="18"/>
          <w:vertAlign w:val="subscript"/>
        </w:rPr>
        <w:t>2</w:t>
      </w:r>
      <w:r w:rsidRPr="00217C2A">
        <w:rPr>
          <w:rFonts w:cstheme="minorHAnsi"/>
          <w:sz w:val="18"/>
          <w:szCs w:val="18"/>
        </w:rPr>
        <w:t>HPO</w:t>
      </w:r>
      <w:r w:rsidRPr="00217C2A">
        <w:rPr>
          <w:rFonts w:cstheme="minorHAnsi"/>
          <w:sz w:val="18"/>
          <w:szCs w:val="18"/>
          <w:vertAlign w:val="subscript"/>
        </w:rPr>
        <w:t>4</w:t>
      </w:r>
      <w:r w:rsidRPr="00217C2A">
        <w:rPr>
          <w:rFonts w:cstheme="minorHAnsi"/>
          <w:sz w:val="18"/>
          <w:szCs w:val="18"/>
        </w:rPr>
        <w:t xml:space="preserve"> 0.12758 M, pH 7). Afterwards, the medium was replaced with 312.5 nM M23-PP NPs or M23 mixed with P</w:t>
      </w:r>
      <w:r w:rsidRPr="00217C2A">
        <w:rPr>
          <w:rFonts w:cstheme="minorHAnsi"/>
          <w:sz w:val="18"/>
          <w:szCs w:val="18"/>
          <w:vertAlign w:val="subscript"/>
        </w:rPr>
        <w:t>i</w:t>
      </w:r>
      <w:r w:rsidRPr="00217C2A">
        <w:rPr>
          <w:rFonts w:cstheme="minorHAnsi"/>
          <w:sz w:val="18"/>
          <w:szCs w:val="18"/>
        </w:rPr>
        <w:t xml:space="preserve"> in a 1:1 ratio. Samples were incubated for 2 h at 37 °C under shaking (100 rpm). Thereafter, AP activity and CFU were determined as detailed above. </w:t>
      </w:r>
    </w:p>
    <w:p w14:paraId="5A689F59" w14:textId="77777777" w:rsidR="004602E1" w:rsidRPr="00217C2A" w:rsidRDefault="004602E1" w:rsidP="00C66C9F">
      <w:pPr>
        <w:spacing w:beforeLines="120" w:before="288" w:afterLines="120" w:after="288" w:line="360" w:lineRule="auto"/>
        <w:ind w:left="360"/>
        <w:jc w:val="both"/>
        <w:rPr>
          <w:rFonts w:cstheme="minorHAnsi"/>
          <w:b/>
          <w:bCs/>
          <w:sz w:val="18"/>
          <w:szCs w:val="18"/>
        </w:rPr>
      </w:pPr>
      <w:r w:rsidRPr="00217C2A">
        <w:rPr>
          <w:rFonts w:cstheme="minorHAnsi"/>
          <w:b/>
          <w:bCs/>
          <w:sz w:val="18"/>
          <w:szCs w:val="18"/>
        </w:rPr>
        <w:t>Statistical Analysis</w:t>
      </w:r>
    </w:p>
    <w:p w14:paraId="7AB60D18" w14:textId="77777777" w:rsidR="004602E1" w:rsidRPr="00217C2A" w:rsidRDefault="004602E1" w:rsidP="00C66C9F">
      <w:pPr>
        <w:tabs>
          <w:tab w:val="left" w:pos="2903"/>
        </w:tabs>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 xml:space="preserve">Data was analysed using GraphPad Prism 5 (GraphPad Software, Inc., San Diego, CA, USA). One-way ANOVA and two-way Bonferroni multiple comparison tests were applied, and statistical significance was defined as p&lt;0.05 probability values. </w:t>
      </w:r>
    </w:p>
    <w:p w14:paraId="2E70ED30" w14:textId="4755C72A" w:rsidR="00B37BA3" w:rsidRPr="00217C2A" w:rsidRDefault="00B37BA3" w:rsidP="00C66C9F">
      <w:pPr>
        <w:spacing w:beforeLines="120" w:before="288" w:afterLines="120" w:after="288" w:line="360" w:lineRule="auto"/>
        <w:ind w:left="360"/>
        <w:jc w:val="both"/>
        <w:rPr>
          <w:rFonts w:cstheme="minorHAnsi"/>
          <w:bCs/>
          <w:sz w:val="18"/>
          <w:szCs w:val="18"/>
        </w:rPr>
      </w:pPr>
      <w:r w:rsidRPr="00217C2A">
        <w:rPr>
          <w:rFonts w:cstheme="minorHAnsi"/>
          <w:b/>
          <w:bCs/>
          <w:sz w:val="18"/>
          <w:szCs w:val="18"/>
        </w:rPr>
        <w:t>Additional electronic supplementary information</w:t>
      </w:r>
    </w:p>
    <w:p w14:paraId="3D480F86" w14:textId="2D14382A" w:rsidR="00B37BA3" w:rsidRPr="00217C2A" w:rsidRDefault="00B37BA3" w:rsidP="00C66C9F">
      <w:pPr>
        <w:pStyle w:val="RSCB04AHeadingSection"/>
        <w:spacing w:after="0" w:line="360" w:lineRule="auto"/>
        <w:ind w:left="360"/>
        <w:jc w:val="both"/>
        <w:rPr>
          <w:rFonts w:cstheme="minorHAnsi"/>
          <w:b w:val="0"/>
          <w:sz w:val="18"/>
          <w:szCs w:val="18"/>
        </w:rPr>
      </w:pPr>
      <w:r w:rsidRPr="00217C2A">
        <w:rPr>
          <w:rFonts w:cstheme="minorHAnsi"/>
          <w:b w:val="0"/>
          <w:sz w:val="18"/>
          <w:szCs w:val="18"/>
        </w:rPr>
        <w:t xml:space="preserve">Raw data supporting the findings of this publication are included as xls files as detailed: Raw data for size, and PDI under different screening conditions for developing PGH-PP NPs corresponding to </w:t>
      </w:r>
      <w:r w:rsidRPr="00217C2A">
        <w:rPr>
          <w:rFonts w:cstheme="minorHAnsi"/>
          <w:bCs/>
          <w:sz w:val="18"/>
          <w:szCs w:val="18"/>
        </w:rPr>
        <w:t>Figure 1</w:t>
      </w:r>
      <w:r w:rsidRPr="00217C2A">
        <w:rPr>
          <w:rFonts w:cstheme="minorHAnsi"/>
          <w:b w:val="0"/>
          <w:sz w:val="18"/>
          <w:szCs w:val="18"/>
        </w:rPr>
        <w:t xml:space="preserve"> and Table S1 (PGH-PP-NPs_Screening conditions.xls); zeta potential of the most promising formulations of PGH-PP NPs, corresponding to </w:t>
      </w:r>
      <w:r w:rsidRPr="00217C2A">
        <w:rPr>
          <w:rFonts w:cstheme="minorHAnsi"/>
          <w:bCs/>
          <w:sz w:val="18"/>
          <w:szCs w:val="18"/>
        </w:rPr>
        <w:t>Figure 1</w:t>
      </w:r>
      <w:r w:rsidRPr="00217C2A">
        <w:rPr>
          <w:rFonts w:cstheme="minorHAnsi"/>
          <w:b w:val="0"/>
          <w:sz w:val="18"/>
          <w:szCs w:val="18"/>
        </w:rPr>
        <w:t xml:space="preserve"> (PGH-PP-NPs Zeta potential.xls); MIC and MBC of free PGH and PGH-PP NPs corresponding to </w:t>
      </w:r>
      <w:r w:rsidRPr="00217C2A">
        <w:rPr>
          <w:rFonts w:cstheme="minorHAnsi"/>
          <w:bCs/>
          <w:sz w:val="18"/>
          <w:szCs w:val="18"/>
        </w:rPr>
        <w:t>Figure 2A</w:t>
      </w:r>
      <w:r w:rsidRPr="00217C2A">
        <w:rPr>
          <w:rFonts w:cstheme="minorHAnsi"/>
          <w:b w:val="0"/>
          <w:sz w:val="18"/>
          <w:szCs w:val="18"/>
        </w:rPr>
        <w:t xml:space="preserve"> (MIC and MBC.xls); percentage of viability after exposure of Caco2 to formulations of free PGH and PGH-PP NPs corresponding to </w:t>
      </w:r>
      <w:r w:rsidRPr="00217C2A">
        <w:rPr>
          <w:rFonts w:cstheme="minorHAnsi"/>
          <w:bCs/>
          <w:sz w:val="18"/>
          <w:szCs w:val="18"/>
        </w:rPr>
        <w:t xml:space="preserve">Figure </w:t>
      </w:r>
      <w:r w:rsidR="0015131E" w:rsidRPr="00217C2A">
        <w:rPr>
          <w:rFonts w:cstheme="minorHAnsi"/>
          <w:bCs/>
          <w:sz w:val="18"/>
          <w:szCs w:val="18"/>
        </w:rPr>
        <w:t>S</w:t>
      </w:r>
      <w:r w:rsidRPr="00217C2A">
        <w:rPr>
          <w:rFonts w:cstheme="minorHAnsi"/>
          <w:bCs/>
          <w:sz w:val="18"/>
          <w:szCs w:val="18"/>
        </w:rPr>
        <w:t>2</w:t>
      </w:r>
      <w:r w:rsidRPr="00217C2A">
        <w:rPr>
          <w:rFonts w:cstheme="minorHAnsi"/>
          <w:b w:val="0"/>
          <w:sz w:val="18"/>
          <w:szCs w:val="18"/>
        </w:rPr>
        <w:t xml:space="preserve"> (Cytotoxicity towards Caco2</w:t>
      </w:r>
      <w:r w:rsidR="001D3358" w:rsidRPr="00217C2A">
        <w:rPr>
          <w:rFonts w:cstheme="minorHAnsi"/>
          <w:b w:val="0"/>
          <w:sz w:val="18"/>
          <w:szCs w:val="18"/>
        </w:rPr>
        <w:t xml:space="preserve"> and HeLa</w:t>
      </w:r>
      <w:r w:rsidRPr="00217C2A">
        <w:rPr>
          <w:rFonts w:cstheme="minorHAnsi"/>
          <w:b w:val="0"/>
          <w:sz w:val="18"/>
          <w:szCs w:val="18"/>
        </w:rPr>
        <w:t xml:space="preserve">.xls); size and zeta potential form PGH-PP NPs stored at 4°C corresponding to </w:t>
      </w:r>
      <w:r w:rsidRPr="00217C2A">
        <w:rPr>
          <w:rFonts w:cstheme="minorHAnsi"/>
          <w:bCs/>
          <w:sz w:val="18"/>
          <w:szCs w:val="18"/>
        </w:rPr>
        <w:t>Figure 2</w:t>
      </w:r>
      <w:r w:rsidR="0015131E" w:rsidRPr="00217C2A">
        <w:rPr>
          <w:rFonts w:cstheme="minorHAnsi"/>
          <w:bCs/>
          <w:sz w:val="18"/>
          <w:szCs w:val="18"/>
        </w:rPr>
        <w:t>B</w:t>
      </w:r>
      <w:r w:rsidRPr="00217C2A">
        <w:rPr>
          <w:rFonts w:cstheme="minorHAnsi"/>
          <w:b w:val="0"/>
          <w:sz w:val="18"/>
          <w:szCs w:val="18"/>
        </w:rPr>
        <w:t xml:space="preserve"> and </w:t>
      </w:r>
      <w:r w:rsidR="0015131E" w:rsidRPr="00217C2A">
        <w:rPr>
          <w:rFonts w:cstheme="minorHAnsi"/>
          <w:bCs/>
          <w:sz w:val="18"/>
          <w:szCs w:val="18"/>
        </w:rPr>
        <w:t>C</w:t>
      </w:r>
      <w:r w:rsidRPr="00217C2A">
        <w:rPr>
          <w:rFonts w:cstheme="minorHAnsi"/>
          <w:b w:val="0"/>
          <w:sz w:val="18"/>
          <w:szCs w:val="18"/>
        </w:rPr>
        <w:t xml:space="preserve"> (Stability over storage time.xls); MIC after treatment of M23 and M23-PP NPs with serine protease for 20 minutes at 37°C corresponding to </w:t>
      </w:r>
      <w:r w:rsidRPr="00217C2A">
        <w:rPr>
          <w:rFonts w:cstheme="minorHAnsi"/>
          <w:bCs/>
          <w:sz w:val="18"/>
          <w:szCs w:val="18"/>
        </w:rPr>
        <w:t>Figure 3</w:t>
      </w:r>
      <w:r w:rsidRPr="00217C2A">
        <w:rPr>
          <w:rFonts w:cstheme="minorHAnsi"/>
          <w:b w:val="0"/>
          <w:sz w:val="18"/>
          <w:szCs w:val="18"/>
        </w:rPr>
        <w:t xml:space="preserve"> (PGH-PP-NPs Protective effect.xlsx); colony forming units over time after treatment of S. aureus 25923 biofilm with 156.3 nM M23 and M23-PP NPs corresponding to </w:t>
      </w:r>
      <w:r w:rsidRPr="00217C2A">
        <w:rPr>
          <w:rFonts w:cstheme="minorHAnsi"/>
          <w:bCs/>
          <w:sz w:val="18"/>
          <w:szCs w:val="18"/>
        </w:rPr>
        <w:t>Figure 4A</w:t>
      </w:r>
      <w:r w:rsidRPr="00217C2A">
        <w:rPr>
          <w:rFonts w:cstheme="minorHAnsi"/>
          <w:b w:val="0"/>
          <w:sz w:val="18"/>
          <w:szCs w:val="18"/>
        </w:rPr>
        <w:t xml:space="preserve"> (M23 and M23-PP-NPs Time-kill.xlsx); AP activity over time after treatment of </w:t>
      </w:r>
      <w:r w:rsidRPr="00217C2A">
        <w:rPr>
          <w:rFonts w:cstheme="minorHAnsi"/>
          <w:b w:val="0"/>
          <w:i/>
          <w:iCs/>
          <w:sz w:val="18"/>
          <w:szCs w:val="18"/>
        </w:rPr>
        <w:t>S. aureus</w:t>
      </w:r>
      <w:r w:rsidRPr="00217C2A">
        <w:rPr>
          <w:rFonts w:cstheme="minorHAnsi"/>
          <w:b w:val="0"/>
          <w:sz w:val="18"/>
          <w:szCs w:val="18"/>
        </w:rPr>
        <w:t xml:space="preserve"> 25923 biofilm with 156.3 nM M23 and M23-PP NPs corresponding to </w:t>
      </w:r>
      <w:r w:rsidRPr="00217C2A">
        <w:rPr>
          <w:rFonts w:cstheme="minorHAnsi"/>
          <w:bCs/>
          <w:sz w:val="18"/>
          <w:szCs w:val="18"/>
        </w:rPr>
        <w:t>Figure 4D</w:t>
      </w:r>
      <w:r w:rsidRPr="00217C2A">
        <w:rPr>
          <w:rFonts w:cstheme="minorHAnsi"/>
          <w:b w:val="0"/>
          <w:sz w:val="18"/>
          <w:szCs w:val="18"/>
        </w:rPr>
        <w:t xml:space="preserve"> (AP Activity-M23 Time-kill.xls); colony forming units over tie after treatment of S. aureus 25923 biofilm with 625 nM GH15 and GH15-PP NPs corresponding to </w:t>
      </w:r>
      <w:r w:rsidRPr="00217C2A">
        <w:rPr>
          <w:rFonts w:cstheme="minorHAnsi"/>
          <w:bCs/>
          <w:sz w:val="18"/>
          <w:szCs w:val="18"/>
        </w:rPr>
        <w:t>Figure 5A</w:t>
      </w:r>
      <w:r w:rsidRPr="00217C2A">
        <w:rPr>
          <w:rFonts w:cstheme="minorHAnsi"/>
          <w:b w:val="0"/>
          <w:sz w:val="18"/>
          <w:szCs w:val="18"/>
        </w:rPr>
        <w:t xml:space="preserve">. Manuscript (GH15 and GH15-PP-NPs Time-kill.xlsx); AP activity over time after treatment of </w:t>
      </w:r>
      <w:r w:rsidRPr="00217C2A">
        <w:rPr>
          <w:rFonts w:cstheme="minorHAnsi"/>
          <w:b w:val="0"/>
          <w:i/>
          <w:iCs/>
          <w:sz w:val="18"/>
          <w:szCs w:val="18"/>
        </w:rPr>
        <w:t>S. aureus</w:t>
      </w:r>
      <w:r w:rsidRPr="00217C2A">
        <w:rPr>
          <w:rFonts w:cstheme="minorHAnsi"/>
          <w:b w:val="0"/>
          <w:sz w:val="18"/>
          <w:szCs w:val="18"/>
        </w:rPr>
        <w:t xml:space="preserve"> 25923 biofilm with 625 nM GH15 and GH15-PP NPs corresponding to </w:t>
      </w:r>
      <w:r w:rsidRPr="00217C2A">
        <w:rPr>
          <w:rFonts w:cstheme="minorHAnsi"/>
          <w:bCs/>
          <w:sz w:val="18"/>
          <w:szCs w:val="18"/>
        </w:rPr>
        <w:t>Figure 5D</w:t>
      </w:r>
      <w:r w:rsidRPr="00217C2A">
        <w:rPr>
          <w:rFonts w:cstheme="minorHAnsi"/>
          <w:b w:val="0"/>
          <w:sz w:val="18"/>
          <w:szCs w:val="18"/>
        </w:rPr>
        <w:t xml:space="preserve"> (AP Activity-GH15 Time-kill.xls); colony forming units after treatment of S. aureus biofilm with M23, PP-M23 NPs and control in the presence and absence of inorganic phosphate (Pi). corresponding to </w:t>
      </w:r>
      <w:r w:rsidRPr="00217C2A">
        <w:rPr>
          <w:rFonts w:cstheme="minorHAnsi"/>
          <w:bCs/>
          <w:sz w:val="18"/>
          <w:szCs w:val="18"/>
        </w:rPr>
        <w:t>Figure 6</w:t>
      </w:r>
      <w:r w:rsidRPr="00217C2A">
        <w:rPr>
          <w:rFonts w:cstheme="minorHAnsi"/>
          <w:b w:val="0"/>
          <w:sz w:val="18"/>
          <w:szCs w:val="18"/>
        </w:rPr>
        <w:t xml:space="preserve"> (Enzyme-Triggered Antistaphylococcal Activity.xls)</w:t>
      </w:r>
    </w:p>
    <w:p w14:paraId="5C2AE257" w14:textId="0AF5A218" w:rsidR="00580760" w:rsidRPr="00217C2A" w:rsidRDefault="00580760" w:rsidP="00C66C9F">
      <w:pPr>
        <w:spacing w:beforeLines="120" w:before="288" w:afterLines="120" w:after="288" w:line="360" w:lineRule="auto"/>
        <w:ind w:left="360"/>
        <w:rPr>
          <w:rFonts w:cstheme="minorHAnsi"/>
          <w:b/>
          <w:bCs/>
          <w:sz w:val="18"/>
          <w:szCs w:val="18"/>
          <w:lang w:val="en-GB"/>
        </w:rPr>
      </w:pPr>
      <w:r w:rsidRPr="00217C2A">
        <w:rPr>
          <w:rFonts w:cstheme="minorHAnsi"/>
          <w:b/>
          <w:bCs/>
          <w:sz w:val="18"/>
          <w:szCs w:val="18"/>
          <w:lang w:val="en-GB"/>
        </w:rPr>
        <w:br w:type="page"/>
      </w:r>
    </w:p>
    <w:p w14:paraId="7FDD4B11" w14:textId="68218AF5" w:rsidR="00F97D91"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b/>
          <w:bCs/>
          <w:sz w:val="18"/>
          <w:szCs w:val="18"/>
        </w:rPr>
        <w:lastRenderedPageBreak/>
        <w:t xml:space="preserve">Screening conditions for peptidoglycan hydrolase polyphosphate (PGH-PP) NPs formation. </w:t>
      </w:r>
      <w:r w:rsidRPr="00217C2A">
        <w:rPr>
          <w:rFonts w:cstheme="minorHAnsi"/>
          <w:sz w:val="18"/>
          <w:szCs w:val="18"/>
        </w:rPr>
        <w:t xml:space="preserve">Chimeric PGHs were solubilized at different pH conditions (Table S1). </w:t>
      </w:r>
      <w:proofErr w:type="gramStart"/>
      <w:r w:rsidRPr="00217C2A">
        <w:rPr>
          <w:rFonts w:cstheme="minorHAnsi"/>
          <w:sz w:val="18"/>
          <w:szCs w:val="18"/>
        </w:rPr>
        <w:t>In order to</w:t>
      </w:r>
      <w:proofErr w:type="gramEnd"/>
      <w:r w:rsidRPr="00217C2A">
        <w:rPr>
          <w:rFonts w:cstheme="minorHAnsi"/>
          <w:sz w:val="18"/>
          <w:szCs w:val="18"/>
        </w:rPr>
        <w:t xml:space="preserve"> define the protein to PP ratio, the charge of enzybiotics was predicted </w:t>
      </w:r>
      <w:r w:rsidRPr="00217C2A">
        <w:rPr>
          <w:rFonts w:cstheme="minorHAnsi"/>
          <w:i/>
          <w:iCs/>
          <w:sz w:val="18"/>
          <w:szCs w:val="18"/>
        </w:rPr>
        <w:t>in silico</w:t>
      </w:r>
      <w:r w:rsidRPr="00217C2A">
        <w:rPr>
          <w:rFonts w:cstheme="minorHAnsi"/>
          <w:sz w:val="18"/>
          <w:szCs w:val="18"/>
        </w:rPr>
        <w:t>. Ratios from 1:1 to 1:7 were screened, depending on the enzybiotic and considering that PP (n = 25) negative charges are derived from monovalent negative charge of each internal P-subunit (pK</w:t>
      </w:r>
      <w:r w:rsidRPr="00217C2A">
        <w:rPr>
          <w:rFonts w:cstheme="minorHAnsi"/>
          <w:sz w:val="18"/>
          <w:szCs w:val="18"/>
          <w:vertAlign w:val="subscript"/>
        </w:rPr>
        <w:t>a</w:t>
      </w:r>
      <w:r w:rsidRPr="00217C2A">
        <w:rPr>
          <w:rFonts w:cstheme="minorHAnsi"/>
          <w:sz w:val="18"/>
          <w:szCs w:val="18"/>
        </w:rPr>
        <w:t xml:space="preserve"> = ~0–3) </w:t>
      </w:r>
      <w:r w:rsidR="004602E1" w:rsidRPr="00217C2A">
        <w:rPr>
          <w:rFonts w:cstheme="minorHAnsi"/>
          <w:sz w:val="18"/>
          <w:szCs w:val="18"/>
          <w:vertAlign w:val="superscript"/>
        </w:rPr>
        <w:t>7</w:t>
      </w:r>
      <w:r w:rsidRPr="00217C2A">
        <w:rPr>
          <w:rFonts w:cstheme="minorHAnsi"/>
          <w:sz w:val="18"/>
          <w:szCs w:val="18"/>
        </w:rPr>
        <w:t xml:space="preserve">. Protein concentration for NPs formation was screened using </w:t>
      </w:r>
      <w:r w:rsidRPr="00217C2A">
        <w:rPr>
          <w:rFonts w:eastAsia="Times New Roman" w:cstheme="minorHAnsi"/>
          <w:sz w:val="18"/>
          <w:szCs w:val="18"/>
          <w:lang w:val="en-GB"/>
        </w:rPr>
        <w:t xml:space="preserve">CHAPGH15_SH3bALE1 </w:t>
      </w:r>
      <w:r w:rsidRPr="00217C2A">
        <w:rPr>
          <w:rFonts w:eastAsia="Times New Roman" w:cstheme="minorHAnsi"/>
          <w:sz w:val="18"/>
          <w:szCs w:val="18"/>
        </w:rPr>
        <w:t>chimeric endolysin</w:t>
      </w:r>
      <w:r w:rsidRPr="00217C2A">
        <w:rPr>
          <w:rFonts w:eastAsia="Times New Roman" w:cstheme="minorHAnsi"/>
          <w:sz w:val="18"/>
          <w:szCs w:val="18"/>
          <w:lang w:val="en-GB"/>
        </w:rPr>
        <w:t xml:space="preserve"> (</w:t>
      </w:r>
      <w:r w:rsidRPr="00217C2A">
        <w:rPr>
          <w:rFonts w:cstheme="minorHAnsi"/>
          <w:sz w:val="18"/>
          <w:szCs w:val="18"/>
        </w:rPr>
        <w:t xml:space="preserve">GH15, </w:t>
      </w:r>
      <w:r w:rsidRPr="00217C2A">
        <w:rPr>
          <w:rFonts w:eastAsia="Times New Roman" w:cstheme="minorHAnsi"/>
          <w:sz w:val="18"/>
          <w:szCs w:val="18"/>
          <w:lang w:val="en-GB"/>
        </w:rPr>
        <w:t xml:space="preserve">29.964 KDa, </w:t>
      </w:r>
      <w:r w:rsidRPr="00217C2A">
        <w:rPr>
          <w:rFonts w:cstheme="minorHAnsi"/>
          <w:i/>
          <w:iCs/>
          <w:sz w:val="18"/>
          <w:szCs w:val="18"/>
        </w:rPr>
        <w:t>Iep</w:t>
      </w:r>
      <w:r w:rsidRPr="00217C2A">
        <w:rPr>
          <w:rFonts w:cstheme="minorHAnsi"/>
          <w:sz w:val="18"/>
          <w:szCs w:val="18"/>
        </w:rPr>
        <w:t xml:space="preserve"> 8.801) from 5 µM to 1.25 µM. The presence of buffer in the formulations increased the ionic strength of the system, which </w:t>
      </w:r>
      <w:proofErr w:type="gramStart"/>
      <w:r w:rsidRPr="00217C2A">
        <w:rPr>
          <w:rFonts w:cstheme="minorHAnsi"/>
          <w:sz w:val="18"/>
          <w:szCs w:val="18"/>
        </w:rPr>
        <w:t>led</w:t>
      </w:r>
      <w:proofErr w:type="gramEnd"/>
      <w:r w:rsidRPr="00217C2A">
        <w:rPr>
          <w:rFonts w:cstheme="minorHAnsi"/>
          <w:sz w:val="18"/>
          <w:szCs w:val="18"/>
        </w:rPr>
        <w:t xml:space="preserve"> formation of agglomerates (Table S1). Therefore, water-based formulations were chosen for further NPs development. </w:t>
      </w:r>
    </w:p>
    <w:p w14:paraId="7121400C"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eastAsia="Times New Roman" w:cstheme="minorHAnsi"/>
          <w:sz w:val="18"/>
          <w:szCs w:val="18"/>
        </w:rPr>
        <w:t xml:space="preserve">M23-LST(L)_SH3b2638 chimeric PGH </w:t>
      </w:r>
      <w:r w:rsidRPr="00217C2A">
        <w:rPr>
          <w:rFonts w:cstheme="minorHAnsi"/>
          <w:sz w:val="18"/>
          <w:szCs w:val="18"/>
        </w:rPr>
        <w:t xml:space="preserve">(M23, 27.414 KDa, </w:t>
      </w:r>
      <w:r w:rsidRPr="00217C2A">
        <w:rPr>
          <w:rFonts w:cstheme="minorHAnsi"/>
          <w:i/>
          <w:iCs/>
          <w:sz w:val="18"/>
          <w:szCs w:val="18"/>
        </w:rPr>
        <w:t>Iep</w:t>
      </w:r>
      <w:r w:rsidRPr="00217C2A">
        <w:rPr>
          <w:rFonts w:cstheme="minorHAnsi"/>
          <w:sz w:val="18"/>
          <w:szCs w:val="18"/>
        </w:rPr>
        <w:t xml:space="preserve"> 8.44), presented different solubilities at different pHs (Table S1). The endolysin solution was turbid with a particle size of 373 ± 134 nm, PDI 0.50 ± 0.13 at pH 7.4, while at pH 5 an opalescent suspension was observed (particle size of 948.5 ± 134, PDI 0.57 ± 0.08) that turned to be transparent at pH 2 (particle size of 146.2 ± 16.29 nm, PDI 0.33 ± 0.06). NPs were formulated at acidic pH, as more stable positively charged NPs of chimeric M23 were formed under this condition. </w:t>
      </w:r>
    </w:p>
    <w:p w14:paraId="35ED5C68" w14:textId="191A62EF"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 xml:space="preserve">The most promising formulations showing </w:t>
      </w:r>
      <w:r w:rsidRPr="00217C2A">
        <w:rPr>
          <w:rFonts w:eastAsia="Times New Roman" w:cstheme="minorHAnsi"/>
          <w:sz w:val="18"/>
          <w:szCs w:val="18"/>
        </w:rPr>
        <w:t>mean dynamic particle size</w:t>
      </w:r>
      <w:r w:rsidRPr="00217C2A">
        <w:rPr>
          <w:rFonts w:cstheme="minorHAnsi"/>
          <w:sz w:val="18"/>
          <w:szCs w:val="18"/>
        </w:rPr>
        <w:t xml:space="preserve"> (DS) lower than 300 nm and a PDI lower than 0.3 are presented in </w:t>
      </w:r>
      <w:r w:rsidRPr="00217C2A">
        <w:rPr>
          <w:rFonts w:cstheme="minorHAnsi"/>
          <w:b/>
          <w:bCs/>
          <w:sz w:val="18"/>
          <w:szCs w:val="18"/>
        </w:rPr>
        <w:t>Figure 1</w:t>
      </w:r>
      <w:r w:rsidRPr="00217C2A">
        <w:rPr>
          <w:rFonts w:cstheme="minorHAnsi"/>
          <w:sz w:val="18"/>
          <w:szCs w:val="18"/>
        </w:rPr>
        <w:t xml:space="preserve"> and </w:t>
      </w:r>
      <w:r w:rsidRPr="00217C2A">
        <w:rPr>
          <w:rFonts w:cstheme="minorHAnsi"/>
          <w:b/>
          <w:bCs/>
          <w:sz w:val="18"/>
          <w:szCs w:val="18"/>
        </w:rPr>
        <w:t>2</w:t>
      </w:r>
      <w:r w:rsidRPr="00217C2A">
        <w:rPr>
          <w:rFonts w:cstheme="minorHAnsi"/>
          <w:sz w:val="18"/>
          <w:szCs w:val="18"/>
        </w:rPr>
        <w:t xml:space="preserve"> (main manuscript).</w:t>
      </w:r>
    </w:p>
    <w:p w14:paraId="6DFEE38F"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sectPr w:rsidR="00580760" w:rsidRPr="00217C2A" w:rsidSect="00DB373D">
          <w:headerReference w:type="default" r:id="rId9"/>
          <w:footerReference w:type="default" r:id="rId10"/>
          <w:pgSz w:w="12240" w:h="15840"/>
          <w:pgMar w:top="1440" w:right="1440" w:bottom="1440" w:left="1440" w:header="708" w:footer="708" w:gutter="0"/>
          <w:cols w:space="708"/>
          <w:docGrid w:linePitch="360"/>
        </w:sectPr>
      </w:pPr>
    </w:p>
    <w:p w14:paraId="6D61F33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b/>
          <w:bCs/>
          <w:color w:val="auto"/>
          <w:sz w:val="18"/>
          <w:szCs w:val="18"/>
        </w:rPr>
        <w:lastRenderedPageBreak/>
        <w:t>Table S1</w:t>
      </w:r>
      <w:r w:rsidRPr="00217C2A">
        <w:rPr>
          <w:rFonts w:asciiTheme="minorHAnsi" w:hAnsiTheme="minorHAnsi" w:cstheme="minorHAnsi"/>
          <w:color w:val="auto"/>
          <w:sz w:val="18"/>
          <w:szCs w:val="18"/>
        </w:rPr>
        <w:t>. Screening conditions for PGH-PP NPs formation</w:t>
      </w:r>
    </w:p>
    <w:tbl>
      <w:tblPr>
        <w:tblStyle w:val="TableGrid"/>
        <w:tblW w:w="13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1134"/>
        <w:gridCol w:w="1276"/>
        <w:gridCol w:w="992"/>
        <w:gridCol w:w="851"/>
        <w:gridCol w:w="992"/>
        <w:gridCol w:w="997"/>
        <w:gridCol w:w="1276"/>
        <w:gridCol w:w="1564"/>
        <w:gridCol w:w="1695"/>
        <w:gridCol w:w="1844"/>
      </w:tblGrid>
      <w:tr w:rsidR="00217C2A" w:rsidRPr="00217C2A" w14:paraId="776B21CE" w14:textId="77777777" w:rsidTr="00DD0231">
        <w:trPr>
          <w:cantSplit/>
          <w:trHeight w:val="2171"/>
        </w:trPr>
        <w:tc>
          <w:tcPr>
            <w:tcW w:w="1129" w:type="dxa"/>
            <w:tcBorders>
              <w:top w:val="single" w:sz="4" w:space="0" w:color="auto"/>
              <w:bottom w:val="single" w:sz="4" w:space="0" w:color="auto"/>
            </w:tcBorders>
            <w:textDirection w:val="btLr"/>
          </w:tcPr>
          <w:p w14:paraId="61BBC1C5"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Formulation code</w:t>
            </w:r>
          </w:p>
        </w:tc>
        <w:tc>
          <w:tcPr>
            <w:tcW w:w="1134" w:type="dxa"/>
            <w:tcBorders>
              <w:top w:val="single" w:sz="4" w:space="0" w:color="auto"/>
              <w:bottom w:val="single" w:sz="4" w:space="0" w:color="auto"/>
            </w:tcBorders>
            <w:textDirection w:val="btLr"/>
          </w:tcPr>
          <w:p w14:paraId="7B057F19"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Cation concentration</w:t>
            </w:r>
          </w:p>
        </w:tc>
        <w:tc>
          <w:tcPr>
            <w:tcW w:w="1276" w:type="dxa"/>
            <w:tcBorders>
              <w:top w:val="single" w:sz="4" w:space="0" w:color="auto"/>
              <w:bottom w:val="single" w:sz="4" w:space="0" w:color="auto"/>
            </w:tcBorders>
            <w:textDirection w:val="btLr"/>
          </w:tcPr>
          <w:p w14:paraId="1CE9EECD"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Cation net charge at (pH)</w:t>
            </w:r>
          </w:p>
        </w:tc>
        <w:tc>
          <w:tcPr>
            <w:tcW w:w="992" w:type="dxa"/>
            <w:tcBorders>
              <w:top w:val="single" w:sz="4" w:space="0" w:color="auto"/>
              <w:bottom w:val="single" w:sz="4" w:space="0" w:color="auto"/>
            </w:tcBorders>
            <w:textDirection w:val="btLr"/>
          </w:tcPr>
          <w:p w14:paraId="557AE6BE"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PP concentration</w:t>
            </w:r>
          </w:p>
        </w:tc>
        <w:tc>
          <w:tcPr>
            <w:tcW w:w="851" w:type="dxa"/>
            <w:tcBorders>
              <w:top w:val="single" w:sz="4" w:space="0" w:color="auto"/>
              <w:bottom w:val="single" w:sz="4" w:space="0" w:color="auto"/>
            </w:tcBorders>
            <w:textDirection w:val="btLr"/>
          </w:tcPr>
          <w:p w14:paraId="66F2F0AC"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Ratio cation to PP (µMol)</w:t>
            </w:r>
          </w:p>
        </w:tc>
        <w:tc>
          <w:tcPr>
            <w:tcW w:w="992" w:type="dxa"/>
            <w:tcBorders>
              <w:top w:val="single" w:sz="4" w:space="0" w:color="auto"/>
              <w:bottom w:val="single" w:sz="4" w:space="0" w:color="auto"/>
            </w:tcBorders>
            <w:textDirection w:val="btLr"/>
          </w:tcPr>
          <w:p w14:paraId="1107D4AC"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Media used for formulation</w:t>
            </w:r>
          </w:p>
        </w:tc>
        <w:tc>
          <w:tcPr>
            <w:tcW w:w="997" w:type="dxa"/>
            <w:tcBorders>
              <w:top w:val="single" w:sz="4" w:space="0" w:color="auto"/>
              <w:bottom w:val="single" w:sz="4" w:space="0" w:color="auto"/>
            </w:tcBorders>
            <w:textDirection w:val="btLr"/>
          </w:tcPr>
          <w:p w14:paraId="74768A52"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Ultrasonication</w:t>
            </w:r>
          </w:p>
        </w:tc>
        <w:tc>
          <w:tcPr>
            <w:tcW w:w="1276" w:type="dxa"/>
            <w:tcBorders>
              <w:top w:val="single" w:sz="4" w:space="0" w:color="auto"/>
              <w:bottom w:val="single" w:sz="4" w:space="0" w:color="auto"/>
            </w:tcBorders>
            <w:textDirection w:val="btLr"/>
          </w:tcPr>
          <w:p w14:paraId="02A562B4"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Formulation ionic strength</w:t>
            </w:r>
          </w:p>
        </w:tc>
        <w:tc>
          <w:tcPr>
            <w:tcW w:w="1564" w:type="dxa"/>
            <w:tcBorders>
              <w:top w:val="single" w:sz="4" w:space="0" w:color="auto"/>
              <w:bottom w:val="single" w:sz="4" w:space="0" w:color="auto"/>
            </w:tcBorders>
            <w:textDirection w:val="btLr"/>
          </w:tcPr>
          <w:p w14:paraId="1DC8510F"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Outcome</w:t>
            </w:r>
          </w:p>
        </w:tc>
        <w:tc>
          <w:tcPr>
            <w:tcW w:w="1695" w:type="dxa"/>
            <w:tcBorders>
              <w:top w:val="single" w:sz="4" w:space="0" w:color="auto"/>
              <w:bottom w:val="single" w:sz="4" w:space="0" w:color="auto"/>
            </w:tcBorders>
            <w:textDirection w:val="btLr"/>
          </w:tcPr>
          <w:p w14:paraId="28DA72BC"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Size (nm)</w:t>
            </w:r>
          </w:p>
        </w:tc>
        <w:tc>
          <w:tcPr>
            <w:tcW w:w="1844" w:type="dxa"/>
            <w:tcBorders>
              <w:top w:val="single" w:sz="4" w:space="0" w:color="auto"/>
              <w:bottom w:val="single" w:sz="4" w:space="0" w:color="auto"/>
            </w:tcBorders>
            <w:textDirection w:val="btLr"/>
          </w:tcPr>
          <w:p w14:paraId="5F706F4F" w14:textId="77777777" w:rsidR="00580760" w:rsidRPr="00217C2A" w:rsidRDefault="00580760" w:rsidP="00C66C9F">
            <w:pPr>
              <w:pStyle w:val="Default"/>
              <w:spacing w:beforeLines="120" w:before="288" w:afterLines="120" w:after="288" w:line="360" w:lineRule="auto"/>
              <w:ind w:left="360" w:right="113"/>
              <w:jc w:val="both"/>
              <w:rPr>
                <w:rFonts w:asciiTheme="minorHAnsi" w:hAnsiTheme="minorHAnsi" w:cstheme="minorHAnsi"/>
                <w:b/>
                <w:bCs/>
                <w:color w:val="auto"/>
                <w:sz w:val="18"/>
                <w:szCs w:val="18"/>
              </w:rPr>
            </w:pPr>
            <w:r w:rsidRPr="00217C2A">
              <w:rPr>
                <w:rFonts w:asciiTheme="minorHAnsi" w:hAnsiTheme="minorHAnsi" w:cstheme="minorHAnsi"/>
                <w:b/>
                <w:bCs/>
                <w:color w:val="auto"/>
                <w:sz w:val="18"/>
                <w:szCs w:val="18"/>
              </w:rPr>
              <w:t>PDI</w:t>
            </w:r>
          </w:p>
        </w:tc>
      </w:tr>
      <w:tr w:rsidR="00217C2A" w:rsidRPr="00217C2A" w14:paraId="3A0FDA81" w14:textId="77777777" w:rsidTr="00DD0231">
        <w:tc>
          <w:tcPr>
            <w:tcW w:w="1129" w:type="dxa"/>
            <w:tcBorders>
              <w:top w:val="single" w:sz="4" w:space="0" w:color="auto"/>
              <w:bottom w:val="single" w:sz="4" w:space="0" w:color="auto"/>
            </w:tcBorders>
          </w:tcPr>
          <w:p w14:paraId="63FCE28E"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F0</w:t>
            </w:r>
          </w:p>
        </w:tc>
        <w:tc>
          <w:tcPr>
            <w:tcW w:w="1134" w:type="dxa"/>
            <w:tcBorders>
              <w:top w:val="single" w:sz="4" w:space="0" w:color="auto"/>
              <w:bottom w:val="single" w:sz="4" w:space="0" w:color="auto"/>
            </w:tcBorders>
          </w:tcPr>
          <w:p w14:paraId="778C5233"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GH15 5µM</w:t>
            </w:r>
          </w:p>
        </w:tc>
        <w:tc>
          <w:tcPr>
            <w:tcW w:w="1276" w:type="dxa"/>
            <w:vMerge w:val="restart"/>
            <w:tcBorders>
              <w:top w:val="single" w:sz="4" w:space="0" w:color="auto"/>
              <w:bottom w:val="single" w:sz="4" w:space="0" w:color="auto"/>
            </w:tcBorders>
          </w:tcPr>
          <w:p w14:paraId="5D3A6EF4"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+3.644 (7.4)</w:t>
            </w:r>
          </w:p>
          <w:p w14:paraId="25BF6D5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2" w:type="dxa"/>
            <w:tcBorders>
              <w:top w:val="single" w:sz="4" w:space="0" w:color="auto"/>
              <w:bottom w:val="single" w:sz="4" w:space="0" w:color="auto"/>
            </w:tcBorders>
          </w:tcPr>
          <w:p w14:paraId="3BD38A1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0</w:t>
            </w:r>
          </w:p>
        </w:tc>
        <w:tc>
          <w:tcPr>
            <w:tcW w:w="851" w:type="dxa"/>
            <w:tcBorders>
              <w:top w:val="single" w:sz="4" w:space="0" w:color="auto"/>
              <w:bottom w:val="single" w:sz="4" w:space="0" w:color="auto"/>
            </w:tcBorders>
          </w:tcPr>
          <w:p w14:paraId="3D6641A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992" w:type="dxa"/>
            <w:tcBorders>
              <w:top w:val="single" w:sz="4" w:space="0" w:color="auto"/>
              <w:bottom w:val="single" w:sz="4" w:space="0" w:color="auto"/>
            </w:tcBorders>
          </w:tcPr>
          <w:p w14:paraId="16F118E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Water</w:t>
            </w:r>
          </w:p>
        </w:tc>
        <w:tc>
          <w:tcPr>
            <w:tcW w:w="997" w:type="dxa"/>
            <w:tcBorders>
              <w:top w:val="single" w:sz="4" w:space="0" w:color="auto"/>
              <w:bottom w:val="single" w:sz="4" w:space="0" w:color="auto"/>
            </w:tcBorders>
          </w:tcPr>
          <w:p w14:paraId="3A54439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No</w:t>
            </w:r>
          </w:p>
        </w:tc>
        <w:tc>
          <w:tcPr>
            <w:tcW w:w="1276" w:type="dxa"/>
            <w:tcBorders>
              <w:top w:val="single" w:sz="4" w:space="0" w:color="auto"/>
              <w:bottom w:val="single" w:sz="4" w:space="0" w:color="auto"/>
            </w:tcBorders>
          </w:tcPr>
          <w:p w14:paraId="4DB18EC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0.046925</w:t>
            </w:r>
          </w:p>
        </w:tc>
        <w:tc>
          <w:tcPr>
            <w:tcW w:w="1564" w:type="dxa"/>
            <w:tcBorders>
              <w:top w:val="single" w:sz="4" w:space="0" w:color="auto"/>
              <w:bottom w:val="single" w:sz="4" w:space="0" w:color="auto"/>
            </w:tcBorders>
          </w:tcPr>
          <w:p w14:paraId="2FBF7ED3"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Transparent solution</w:t>
            </w:r>
          </w:p>
        </w:tc>
        <w:tc>
          <w:tcPr>
            <w:tcW w:w="1695" w:type="dxa"/>
            <w:tcBorders>
              <w:top w:val="single" w:sz="4" w:space="0" w:color="auto"/>
              <w:bottom w:val="single" w:sz="4" w:space="0" w:color="auto"/>
            </w:tcBorders>
          </w:tcPr>
          <w:p w14:paraId="60713B4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1844" w:type="dxa"/>
            <w:tcBorders>
              <w:top w:val="single" w:sz="4" w:space="0" w:color="auto"/>
              <w:bottom w:val="single" w:sz="4" w:space="0" w:color="auto"/>
            </w:tcBorders>
          </w:tcPr>
          <w:p w14:paraId="72FB9F0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r>
      <w:tr w:rsidR="00217C2A" w:rsidRPr="00217C2A" w14:paraId="566ABE0E" w14:textId="77777777" w:rsidTr="00DD0231">
        <w:tc>
          <w:tcPr>
            <w:tcW w:w="1129" w:type="dxa"/>
            <w:tcBorders>
              <w:top w:val="single" w:sz="4" w:space="0" w:color="auto"/>
              <w:bottom w:val="single" w:sz="4" w:space="0" w:color="auto"/>
            </w:tcBorders>
          </w:tcPr>
          <w:p w14:paraId="0D3E6B7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F1pbs</w:t>
            </w:r>
          </w:p>
        </w:tc>
        <w:tc>
          <w:tcPr>
            <w:tcW w:w="1134" w:type="dxa"/>
            <w:vMerge w:val="restart"/>
            <w:tcBorders>
              <w:top w:val="single" w:sz="4" w:space="0" w:color="auto"/>
              <w:bottom w:val="single" w:sz="4" w:space="0" w:color="auto"/>
            </w:tcBorders>
          </w:tcPr>
          <w:p w14:paraId="2EAE9871"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GH15 5µM</w:t>
            </w:r>
          </w:p>
        </w:tc>
        <w:tc>
          <w:tcPr>
            <w:tcW w:w="1276" w:type="dxa"/>
            <w:vMerge/>
            <w:tcBorders>
              <w:top w:val="single" w:sz="4" w:space="0" w:color="auto"/>
              <w:bottom w:val="single" w:sz="4" w:space="0" w:color="auto"/>
            </w:tcBorders>
          </w:tcPr>
          <w:p w14:paraId="7B1AEE74"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533ADC5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15 µM</w:t>
            </w:r>
          </w:p>
        </w:tc>
        <w:tc>
          <w:tcPr>
            <w:tcW w:w="851" w:type="dxa"/>
            <w:tcBorders>
              <w:top w:val="single" w:sz="4" w:space="0" w:color="auto"/>
              <w:bottom w:val="single" w:sz="4" w:space="0" w:color="auto"/>
            </w:tcBorders>
          </w:tcPr>
          <w:p w14:paraId="1422D2CA"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1:3</w:t>
            </w:r>
          </w:p>
        </w:tc>
        <w:tc>
          <w:tcPr>
            <w:tcW w:w="992" w:type="dxa"/>
            <w:vMerge w:val="restart"/>
            <w:tcBorders>
              <w:top w:val="single" w:sz="4" w:space="0" w:color="auto"/>
              <w:bottom w:val="single" w:sz="4" w:space="0" w:color="auto"/>
            </w:tcBorders>
          </w:tcPr>
          <w:p w14:paraId="16FD4E2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PBS pH 7.4</w:t>
            </w:r>
          </w:p>
        </w:tc>
        <w:tc>
          <w:tcPr>
            <w:tcW w:w="997" w:type="dxa"/>
            <w:tcBorders>
              <w:top w:val="single" w:sz="4" w:space="0" w:color="auto"/>
              <w:bottom w:val="single" w:sz="4" w:space="0" w:color="auto"/>
            </w:tcBorders>
          </w:tcPr>
          <w:p w14:paraId="0EACD01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Yes</w:t>
            </w:r>
          </w:p>
        </w:tc>
        <w:tc>
          <w:tcPr>
            <w:tcW w:w="1276" w:type="dxa"/>
            <w:tcBorders>
              <w:top w:val="single" w:sz="4" w:space="0" w:color="auto"/>
              <w:bottom w:val="single" w:sz="4" w:space="0" w:color="auto"/>
            </w:tcBorders>
            <w:vAlign w:val="bottom"/>
          </w:tcPr>
          <w:p w14:paraId="16B6ED1A"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0.59121</w:t>
            </w:r>
          </w:p>
        </w:tc>
        <w:tc>
          <w:tcPr>
            <w:tcW w:w="1564" w:type="dxa"/>
            <w:tcBorders>
              <w:top w:val="single" w:sz="4" w:space="0" w:color="auto"/>
              <w:bottom w:val="single" w:sz="4" w:space="0" w:color="auto"/>
            </w:tcBorders>
          </w:tcPr>
          <w:p w14:paraId="02B2B88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Macroscopic phase separation</w:t>
            </w:r>
          </w:p>
        </w:tc>
        <w:tc>
          <w:tcPr>
            <w:tcW w:w="1695" w:type="dxa"/>
            <w:tcBorders>
              <w:top w:val="single" w:sz="4" w:space="0" w:color="auto"/>
              <w:bottom w:val="single" w:sz="4" w:space="0" w:color="auto"/>
            </w:tcBorders>
          </w:tcPr>
          <w:p w14:paraId="1D5D7107"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1844" w:type="dxa"/>
            <w:tcBorders>
              <w:top w:val="single" w:sz="4" w:space="0" w:color="auto"/>
              <w:bottom w:val="single" w:sz="4" w:space="0" w:color="auto"/>
            </w:tcBorders>
          </w:tcPr>
          <w:p w14:paraId="24C5E18E"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r>
      <w:tr w:rsidR="00217C2A" w:rsidRPr="00217C2A" w14:paraId="7E062B43" w14:textId="77777777" w:rsidTr="00DD0231">
        <w:tc>
          <w:tcPr>
            <w:tcW w:w="1129" w:type="dxa"/>
            <w:tcBorders>
              <w:top w:val="single" w:sz="4" w:space="0" w:color="auto"/>
              <w:bottom w:val="single" w:sz="4" w:space="0" w:color="auto"/>
            </w:tcBorders>
          </w:tcPr>
          <w:p w14:paraId="580A0523"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F2pbs</w:t>
            </w:r>
          </w:p>
        </w:tc>
        <w:tc>
          <w:tcPr>
            <w:tcW w:w="1134" w:type="dxa"/>
            <w:vMerge/>
            <w:tcBorders>
              <w:top w:val="single" w:sz="4" w:space="0" w:color="auto"/>
              <w:bottom w:val="single" w:sz="4" w:space="0" w:color="auto"/>
            </w:tcBorders>
          </w:tcPr>
          <w:p w14:paraId="1373F8B1"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63186422"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39C6514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20 µM</w:t>
            </w:r>
          </w:p>
        </w:tc>
        <w:tc>
          <w:tcPr>
            <w:tcW w:w="851" w:type="dxa"/>
            <w:tcBorders>
              <w:top w:val="single" w:sz="4" w:space="0" w:color="auto"/>
              <w:bottom w:val="single" w:sz="4" w:space="0" w:color="auto"/>
            </w:tcBorders>
          </w:tcPr>
          <w:p w14:paraId="0829045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1:4</w:t>
            </w:r>
          </w:p>
        </w:tc>
        <w:tc>
          <w:tcPr>
            <w:tcW w:w="992" w:type="dxa"/>
            <w:vMerge/>
            <w:tcBorders>
              <w:top w:val="single" w:sz="4" w:space="0" w:color="auto"/>
              <w:bottom w:val="single" w:sz="4" w:space="0" w:color="auto"/>
            </w:tcBorders>
          </w:tcPr>
          <w:p w14:paraId="28980E2B"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6C64409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Yes</w:t>
            </w:r>
          </w:p>
        </w:tc>
        <w:tc>
          <w:tcPr>
            <w:tcW w:w="1276" w:type="dxa"/>
            <w:tcBorders>
              <w:top w:val="single" w:sz="4" w:space="0" w:color="auto"/>
              <w:bottom w:val="single" w:sz="4" w:space="0" w:color="auto"/>
            </w:tcBorders>
            <w:vAlign w:val="bottom"/>
          </w:tcPr>
          <w:p w14:paraId="5D0DD650"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0.65121</w:t>
            </w:r>
          </w:p>
        </w:tc>
        <w:tc>
          <w:tcPr>
            <w:tcW w:w="1564" w:type="dxa"/>
            <w:tcBorders>
              <w:top w:val="single" w:sz="4" w:space="0" w:color="auto"/>
              <w:bottom w:val="single" w:sz="4" w:space="0" w:color="auto"/>
            </w:tcBorders>
          </w:tcPr>
          <w:p w14:paraId="76E39A9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Macroscopic phase separation</w:t>
            </w:r>
          </w:p>
        </w:tc>
        <w:tc>
          <w:tcPr>
            <w:tcW w:w="1695" w:type="dxa"/>
            <w:tcBorders>
              <w:top w:val="single" w:sz="4" w:space="0" w:color="auto"/>
              <w:bottom w:val="single" w:sz="4" w:space="0" w:color="auto"/>
            </w:tcBorders>
          </w:tcPr>
          <w:p w14:paraId="14AEA9C4"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1844" w:type="dxa"/>
            <w:tcBorders>
              <w:top w:val="single" w:sz="4" w:space="0" w:color="auto"/>
              <w:bottom w:val="single" w:sz="4" w:space="0" w:color="auto"/>
            </w:tcBorders>
          </w:tcPr>
          <w:p w14:paraId="0BB37117"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r>
      <w:tr w:rsidR="00217C2A" w:rsidRPr="00217C2A" w14:paraId="0B2EF5B7" w14:textId="77777777" w:rsidTr="00DD0231">
        <w:tc>
          <w:tcPr>
            <w:tcW w:w="1129" w:type="dxa"/>
            <w:tcBorders>
              <w:top w:val="single" w:sz="4" w:space="0" w:color="auto"/>
              <w:bottom w:val="single" w:sz="4" w:space="0" w:color="auto"/>
            </w:tcBorders>
          </w:tcPr>
          <w:p w14:paraId="4DB6941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F3pbs</w:t>
            </w:r>
          </w:p>
        </w:tc>
        <w:tc>
          <w:tcPr>
            <w:tcW w:w="1134" w:type="dxa"/>
            <w:vMerge/>
            <w:tcBorders>
              <w:top w:val="single" w:sz="4" w:space="0" w:color="auto"/>
              <w:bottom w:val="single" w:sz="4" w:space="0" w:color="auto"/>
            </w:tcBorders>
          </w:tcPr>
          <w:p w14:paraId="705CF03A"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3878DD27"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0FC8F33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25 µM</w:t>
            </w:r>
          </w:p>
        </w:tc>
        <w:tc>
          <w:tcPr>
            <w:tcW w:w="851" w:type="dxa"/>
            <w:tcBorders>
              <w:top w:val="single" w:sz="4" w:space="0" w:color="auto"/>
              <w:bottom w:val="single" w:sz="4" w:space="0" w:color="auto"/>
            </w:tcBorders>
          </w:tcPr>
          <w:p w14:paraId="2B275ADA"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1:5</w:t>
            </w:r>
          </w:p>
        </w:tc>
        <w:tc>
          <w:tcPr>
            <w:tcW w:w="992" w:type="dxa"/>
            <w:vMerge/>
            <w:tcBorders>
              <w:top w:val="single" w:sz="4" w:space="0" w:color="auto"/>
              <w:bottom w:val="single" w:sz="4" w:space="0" w:color="auto"/>
            </w:tcBorders>
          </w:tcPr>
          <w:p w14:paraId="1FD516D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4CD91D8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Yes</w:t>
            </w:r>
          </w:p>
        </w:tc>
        <w:tc>
          <w:tcPr>
            <w:tcW w:w="1276" w:type="dxa"/>
            <w:tcBorders>
              <w:top w:val="single" w:sz="4" w:space="0" w:color="auto"/>
              <w:bottom w:val="single" w:sz="4" w:space="0" w:color="auto"/>
            </w:tcBorders>
            <w:vAlign w:val="bottom"/>
          </w:tcPr>
          <w:p w14:paraId="404F8AF5"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0.71121</w:t>
            </w:r>
          </w:p>
        </w:tc>
        <w:tc>
          <w:tcPr>
            <w:tcW w:w="1564" w:type="dxa"/>
            <w:tcBorders>
              <w:top w:val="single" w:sz="4" w:space="0" w:color="auto"/>
              <w:bottom w:val="single" w:sz="4" w:space="0" w:color="auto"/>
            </w:tcBorders>
          </w:tcPr>
          <w:p w14:paraId="46929F9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Macroscopic phase separation</w:t>
            </w:r>
          </w:p>
        </w:tc>
        <w:tc>
          <w:tcPr>
            <w:tcW w:w="1695" w:type="dxa"/>
            <w:tcBorders>
              <w:top w:val="single" w:sz="4" w:space="0" w:color="auto"/>
              <w:bottom w:val="single" w:sz="4" w:space="0" w:color="auto"/>
            </w:tcBorders>
          </w:tcPr>
          <w:p w14:paraId="02011B6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1844" w:type="dxa"/>
            <w:tcBorders>
              <w:top w:val="single" w:sz="4" w:space="0" w:color="auto"/>
              <w:bottom w:val="single" w:sz="4" w:space="0" w:color="auto"/>
            </w:tcBorders>
          </w:tcPr>
          <w:p w14:paraId="7F84229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r>
      <w:tr w:rsidR="00217C2A" w:rsidRPr="00217C2A" w14:paraId="2E55DF72" w14:textId="77777777" w:rsidTr="00DD0231">
        <w:tc>
          <w:tcPr>
            <w:tcW w:w="1129" w:type="dxa"/>
            <w:tcBorders>
              <w:top w:val="single" w:sz="4" w:space="0" w:color="auto"/>
              <w:bottom w:val="single" w:sz="4" w:space="0" w:color="auto"/>
            </w:tcBorders>
          </w:tcPr>
          <w:p w14:paraId="23951A37"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lastRenderedPageBreak/>
              <w:t>F1w</w:t>
            </w:r>
          </w:p>
        </w:tc>
        <w:tc>
          <w:tcPr>
            <w:tcW w:w="1134" w:type="dxa"/>
            <w:vMerge/>
            <w:tcBorders>
              <w:top w:val="single" w:sz="4" w:space="0" w:color="auto"/>
              <w:bottom w:val="single" w:sz="4" w:space="0" w:color="auto"/>
            </w:tcBorders>
          </w:tcPr>
          <w:p w14:paraId="2A1B7451"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7A4A1413"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06F11624"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15 µM</w:t>
            </w:r>
          </w:p>
        </w:tc>
        <w:tc>
          <w:tcPr>
            <w:tcW w:w="851" w:type="dxa"/>
            <w:tcBorders>
              <w:top w:val="single" w:sz="4" w:space="0" w:color="auto"/>
              <w:bottom w:val="single" w:sz="4" w:space="0" w:color="auto"/>
            </w:tcBorders>
          </w:tcPr>
          <w:p w14:paraId="69EB12A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1:3</w:t>
            </w:r>
          </w:p>
        </w:tc>
        <w:tc>
          <w:tcPr>
            <w:tcW w:w="992" w:type="dxa"/>
            <w:vMerge w:val="restart"/>
            <w:tcBorders>
              <w:top w:val="single" w:sz="4" w:space="0" w:color="auto"/>
              <w:bottom w:val="single" w:sz="4" w:space="0" w:color="auto"/>
            </w:tcBorders>
          </w:tcPr>
          <w:p w14:paraId="7A379DFB"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water</w:t>
            </w:r>
          </w:p>
        </w:tc>
        <w:tc>
          <w:tcPr>
            <w:tcW w:w="997" w:type="dxa"/>
            <w:tcBorders>
              <w:top w:val="single" w:sz="4" w:space="0" w:color="auto"/>
              <w:bottom w:val="single" w:sz="4" w:space="0" w:color="auto"/>
            </w:tcBorders>
          </w:tcPr>
          <w:p w14:paraId="42B4960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Yes</w:t>
            </w:r>
          </w:p>
        </w:tc>
        <w:tc>
          <w:tcPr>
            <w:tcW w:w="1276" w:type="dxa"/>
            <w:tcBorders>
              <w:top w:val="single" w:sz="4" w:space="0" w:color="auto"/>
              <w:bottom w:val="single" w:sz="4" w:space="0" w:color="auto"/>
            </w:tcBorders>
            <w:vAlign w:val="bottom"/>
          </w:tcPr>
          <w:p w14:paraId="24ED51E8"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eastAsia="Times New Roman" w:cstheme="minorHAnsi"/>
                <w:sz w:val="18"/>
                <w:szCs w:val="18"/>
              </w:rPr>
              <w:t>0.267786</w:t>
            </w:r>
          </w:p>
        </w:tc>
        <w:tc>
          <w:tcPr>
            <w:tcW w:w="1564" w:type="dxa"/>
            <w:tcBorders>
              <w:top w:val="single" w:sz="4" w:space="0" w:color="auto"/>
              <w:bottom w:val="single" w:sz="4" w:space="0" w:color="auto"/>
            </w:tcBorders>
          </w:tcPr>
          <w:p w14:paraId="3F6BFB5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2C94F139" w14:textId="77777777" w:rsidR="00580760" w:rsidRPr="00217C2A" w:rsidRDefault="00580760" w:rsidP="00C66C9F">
            <w:pPr>
              <w:pStyle w:val="Default"/>
              <w:spacing w:beforeLines="120" w:before="288" w:afterLines="120" w:after="288" w:line="360" w:lineRule="auto"/>
              <w:ind w:left="360"/>
              <w:jc w:val="both"/>
              <w:rPr>
                <w:rFonts w:asciiTheme="minorHAnsi" w:eastAsia="Times New Roman" w:hAnsiTheme="minorHAnsi" w:cstheme="minorHAnsi"/>
                <w:color w:val="auto"/>
                <w:sz w:val="18"/>
                <w:szCs w:val="18"/>
              </w:rPr>
            </w:pPr>
            <w:r w:rsidRPr="00217C2A">
              <w:rPr>
                <w:rFonts w:asciiTheme="minorHAnsi" w:hAnsiTheme="minorHAnsi" w:cstheme="minorHAnsi"/>
                <w:color w:val="auto"/>
                <w:sz w:val="18"/>
                <w:szCs w:val="18"/>
              </w:rPr>
              <w:t xml:space="preserve">   </w:t>
            </w:r>
            <w:r w:rsidRPr="00217C2A">
              <w:rPr>
                <w:rFonts w:asciiTheme="minorHAnsi" w:eastAsia="Times New Roman" w:hAnsiTheme="minorHAnsi" w:cstheme="minorHAnsi"/>
                <w:color w:val="auto"/>
                <w:sz w:val="18"/>
                <w:szCs w:val="18"/>
              </w:rPr>
              <w:t xml:space="preserve">2496 ± 39  </w:t>
            </w:r>
          </w:p>
          <w:p w14:paraId="68F6E44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1844" w:type="dxa"/>
            <w:tcBorders>
              <w:top w:val="single" w:sz="4" w:space="0" w:color="auto"/>
              <w:bottom w:val="single" w:sz="4" w:space="0" w:color="auto"/>
            </w:tcBorders>
          </w:tcPr>
          <w:p w14:paraId="62A0906C" w14:textId="77777777" w:rsidR="00580760" w:rsidRPr="00217C2A" w:rsidRDefault="00580760" w:rsidP="00C66C9F">
            <w:pPr>
              <w:pStyle w:val="Default"/>
              <w:spacing w:beforeLines="120" w:before="288" w:afterLines="120" w:after="288" w:line="360" w:lineRule="auto"/>
              <w:ind w:left="360"/>
              <w:jc w:val="both"/>
              <w:rPr>
                <w:rFonts w:asciiTheme="minorHAnsi" w:eastAsia="Times New Roman" w:hAnsiTheme="minorHAnsi" w:cstheme="minorHAnsi"/>
                <w:color w:val="auto"/>
                <w:sz w:val="18"/>
                <w:szCs w:val="18"/>
              </w:rPr>
            </w:pPr>
            <w:r w:rsidRPr="00217C2A">
              <w:rPr>
                <w:rFonts w:asciiTheme="minorHAnsi" w:eastAsia="Times New Roman" w:hAnsiTheme="minorHAnsi" w:cstheme="minorHAnsi"/>
                <w:color w:val="auto"/>
                <w:sz w:val="18"/>
                <w:szCs w:val="18"/>
              </w:rPr>
              <w:t>0.345 ± 0.051</w:t>
            </w:r>
          </w:p>
          <w:p w14:paraId="44D1592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r>
      <w:tr w:rsidR="00217C2A" w:rsidRPr="00217C2A" w14:paraId="2E02DC18" w14:textId="77777777" w:rsidTr="00DD0231">
        <w:tc>
          <w:tcPr>
            <w:tcW w:w="1129" w:type="dxa"/>
            <w:tcBorders>
              <w:top w:val="single" w:sz="4" w:space="0" w:color="auto"/>
              <w:bottom w:val="single" w:sz="4" w:space="0" w:color="auto"/>
            </w:tcBorders>
          </w:tcPr>
          <w:p w14:paraId="2F69EDA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F2w</w:t>
            </w:r>
          </w:p>
        </w:tc>
        <w:tc>
          <w:tcPr>
            <w:tcW w:w="1134" w:type="dxa"/>
            <w:vMerge/>
            <w:tcBorders>
              <w:top w:val="single" w:sz="4" w:space="0" w:color="auto"/>
              <w:bottom w:val="single" w:sz="4" w:space="0" w:color="auto"/>
            </w:tcBorders>
          </w:tcPr>
          <w:p w14:paraId="0DD0212D"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04958395"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76E5A27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20 µM</w:t>
            </w:r>
          </w:p>
        </w:tc>
        <w:tc>
          <w:tcPr>
            <w:tcW w:w="851" w:type="dxa"/>
            <w:tcBorders>
              <w:top w:val="single" w:sz="4" w:space="0" w:color="auto"/>
              <w:bottom w:val="single" w:sz="4" w:space="0" w:color="auto"/>
            </w:tcBorders>
          </w:tcPr>
          <w:p w14:paraId="6297EB4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1:4</w:t>
            </w:r>
          </w:p>
        </w:tc>
        <w:tc>
          <w:tcPr>
            <w:tcW w:w="992" w:type="dxa"/>
            <w:vMerge/>
            <w:tcBorders>
              <w:top w:val="single" w:sz="4" w:space="0" w:color="auto"/>
              <w:bottom w:val="single" w:sz="4" w:space="0" w:color="auto"/>
            </w:tcBorders>
          </w:tcPr>
          <w:p w14:paraId="79290609"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35D976EA"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Yes</w:t>
            </w:r>
          </w:p>
        </w:tc>
        <w:tc>
          <w:tcPr>
            <w:tcW w:w="1276" w:type="dxa"/>
            <w:tcBorders>
              <w:top w:val="single" w:sz="4" w:space="0" w:color="auto"/>
              <w:bottom w:val="single" w:sz="4" w:space="0" w:color="auto"/>
            </w:tcBorders>
            <w:vAlign w:val="bottom"/>
          </w:tcPr>
          <w:p w14:paraId="72B3BB5B"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eastAsia="Times New Roman" w:cstheme="minorHAnsi"/>
                <w:sz w:val="18"/>
                <w:szCs w:val="18"/>
              </w:rPr>
              <w:t>0.297786</w:t>
            </w:r>
          </w:p>
        </w:tc>
        <w:tc>
          <w:tcPr>
            <w:tcW w:w="1564" w:type="dxa"/>
            <w:tcBorders>
              <w:top w:val="single" w:sz="4" w:space="0" w:color="auto"/>
              <w:bottom w:val="single" w:sz="4" w:space="0" w:color="auto"/>
            </w:tcBorders>
          </w:tcPr>
          <w:p w14:paraId="742795C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2DAA001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2927 ± 9</w:t>
            </w:r>
          </w:p>
        </w:tc>
        <w:tc>
          <w:tcPr>
            <w:tcW w:w="1844" w:type="dxa"/>
            <w:tcBorders>
              <w:top w:val="single" w:sz="4" w:space="0" w:color="auto"/>
              <w:bottom w:val="single" w:sz="4" w:space="0" w:color="auto"/>
            </w:tcBorders>
          </w:tcPr>
          <w:p w14:paraId="6DD20B27"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0.349 ± 0.028</w:t>
            </w:r>
          </w:p>
        </w:tc>
      </w:tr>
      <w:tr w:rsidR="00217C2A" w:rsidRPr="00217C2A" w14:paraId="72FABD9C" w14:textId="77777777" w:rsidTr="00DD0231">
        <w:tc>
          <w:tcPr>
            <w:tcW w:w="1129" w:type="dxa"/>
            <w:tcBorders>
              <w:top w:val="single" w:sz="4" w:space="0" w:color="auto"/>
              <w:bottom w:val="single" w:sz="4" w:space="0" w:color="auto"/>
            </w:tcBorders>
          </w:tcPr>
          <w:p w14:paraId="3EC2413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F3w</w:t>
            </w:r>
          </w:p>
        </w:tc>
        <w:tc>
          <w:tcPr>
            <w:tcW w:w="1134" w:type="dxa"/>
            <w:vMerge/>
            <w:tcBorders>
              <w:top w:val="single" w:sz="4" w:space="0" w:color="auto"/>
              <w:bottom w:val="single" w:sz="4" w:space="0" w:color="auto"/>
            </w:tcBorders>
          </w:tcPr>
          <w:p w14:paraId="3D4B9851"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181F3904"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00DAFCEA"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25 µM</w:t>
            </w:r>
          </w:p>
        </w:tc>
        <w:tc>
          <w:tcPr>
            <w:tcW w:w="851" w:type="dxa"/>
            <w:tcBorders>
              <w:top w:val="single" w:sz="4" w:space="0" w:color="auto"/>
              <w:bottom w:val="single" w:sz="4" w:space="0" w:color="auto"/>
            </w:tcBorders>
          </w:tcPr>
          <w:p w14:paraId="6C2541CC"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1:5</w:t>
            </w:r>
          </w:p>
        </w:tc>
        <w:tc>
          <w:tcPr>
            <w:tcW w:w="992" w:type="dxa"/>
            <w:vMerge/>
            <w:tcBorders>
              <w:top w:val="single" w:sz="4" w:space="0" w:color="auto"/>
              <w:bottom w:val="single" w:sz="4" w:space="0" w:color="auto"/>
            </w:tcBorders>
          </w:tcPr>
          <w:p w14:paraId="6C5A101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56274333"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Yes</w:t>
            </w:r>
          </w:p>
        </w:tc>
        <w:tc>
          <w:tcPr>
            <w:tcW w:w="1276" w:type="dxa"/>
            <w:tcBorders>
              <w:top w:val="single" w:sz="4" w:space="0" w:color="auto"/>
              <w:bottom w:val="single" w:sz="4" w:space="0" w:color="auto"/>
            </w:tcBorders>
          </w:tcPr>
          <w:p w14:paraId="3B49F27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0.327786</w:t>
            </w:r>
          </w:p>
        </w:tc>
        <w:tc>
          <w:tcPr>
            <w:tcW w:w="1564" w:type="dxa"/>
            <w:tcBorders>
              <w:top w:val="single" w:sz="4" w:space="0" w:color="auto"/>
              <w:bottom w:val="single" w:sz="4" w:space="0" w:color="auto"/>
            </w:tcBorders>
          </w:tcPr>
          <w:p w14:paraId="1EE696A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0F2DF74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3304</w:t>
            </w:r>
            <w:r w:rsidRPr="00217C2A">
              <w:rPr>
                <w:rFonts w:asciiTheme="minorHAnsi" w:hAnsiTheme="minorHAnsi" w:cstheme="minorHAnsi"/>
                <w:color w:val="auto"/>
                <w:sz w:val="18"/>
                <w:szCs w:val="18"/>
              </w:rPr>
              <w:t xml:space="preserve"> </w:t>
            </w:r>
            <w:r w:rsidRPr="00217C2A">
              <w:rPr>
                <w:rFonts w:asciiTheme="minorHAnsi" w:eastAsia="Times New Roman" w:hAnsiTheme="minorHAnsi" w:cstheme="minorHAnsi"/>
                <w:color w:val="auto"/>
                <w:sz w:val="18"/>
                <w:szCs w:val="18"/>
              </w:rPr>
              <w:t>± 100</w:t>
            </w:r>
          </w:p>
        </w:tc>
        <w:tc>
          <w:tcPr>
            <w:tcW w:w="1844" w:type="dxa"/>
            <w:tcBorders>
              <w:top w:val="single" w:sz="4" w:space="0" w:color="auto"/>
              <w:bottom w:val="single" w:sz="4" w:space="0" w:color="auto"/>
            </w:tcBorders>
          </w:tcPr>
          <w:p w14:paraId="7173651B"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0.436 ± 0.093</w:t>
            </w:r>
          </w:p>
        </w:tc>
      </w:tr>
      <w:tr w:rsidR="00217C2A" w:rsidRPr="00217C2A" w14:paraId="70D4AA9D" w14:textId="77777777" w:rsidTr="00DD0231">
        <w:tc>
          <w:tcPr>
            <w:tcW w:w="1129" w:type="dxa"/>
            <w:tcBorders>
              <w:top w:val="single" w:sz="4" w:space="0" w:color="auto"/>
              <w:bottom w:val="single" w:sz="4" w:space="0" w:color="auto"/>
            </w:tcBorders>
            <w:shd w:val="clear" w:color="auto" w:fill="auto"/>
          </w:tcPr>
          <w:p w14:paraId="1848ECCE"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F1w-1</w:t>
            </w:r>
          </w:p>
        </w:tc>
        <w:tc>
          <w:tcPr>
            <w:tcW w:w="1134" w:type="dxa"/>
            <w:tcBorders>
              <w:top w:val="single" w:sz="4" w:space="0" w:color="auto"/>
              <w:bottom w:val="single" w:sz="4" w:space="0" w:color="auto"/>
            </w:tcBorders>
          </w:tcPr>
          <w:p w14:paraId="40B15A4D"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GH15 2.5 µM</w:t>
            </w:r>
          </w:p>
        </w:tc>
        <w:tc>
          <w:tcPr>
            <w:tcW w:w="1276" w:type="dxa"/>
            <w:tcBorders>
              <w:top w:val="single" w:sz="4" w:space="0" w:color="auto"/>
              <w:bottom w:val="single" w:sz="4" w:space="0" w:color="auto"/>
            </w:tcBorders>
          </w:tcPr>
          <w:p w14:paraId="6EE2100A"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718E483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7.5 µM</w:t>
            </w:r>
          </w:p>
        </w:tc>
        <w:tc>
          <w:tcPr>
            <w:tcW w:w="851" w:type="dxa"/>
            <w:tcBorders>
              <w:top w:val="single" w:sz="4" w:space="0" w:color="auto"/>
              <w:bottom w:val="single" w:sz="4" w:space="0" w:color="auto"/>
            </w:tcBorders>
          </w:tcPr>
          <w:p w14:paraId="7A7463A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1:3</w:t>
            </w:r>
          </w:p>
        </w:tc>
        <w:tc>
          <w:tcPr>
            <w:tcW w:w="992" w:type="dxa"/>
            <w:tcBorders>
              <w:top w:val="single" w:sz="4" w:space="0" w:color="auto"/>
              <w:bottom w:val="single" w:sz="4" w:space="0" w:color="auto"/>
            </w:tcBorders>
          </w:tcPr>
          <w:p w14:paraId="5E20E8FE"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2F974FE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1276" w:type="dxa"/>
            <w:tcBorders>
              <w:top w:val="single" w:sz="4" w:space="0" w:color="auto"/>
              <w:bottom w:val="single" w:sz="4" w:space="0" w:color="auto"/>
            </w:tcBorders>
          </w:tcPr>
          <w:p w14:paraId="5AE260BC" w14:textId="77777777" w:rsidR="00580760" w:rsidRPr="00217C2A" w:rsidRDefault="00580760" w:rsidP="00C66C9F">
            <w:pPr>
              <w:pStyle w:val="Default"/>
              <w:spacing w:beforeLines="120" w:before="288" w:afterLines="120" w:after="288" w:line="360" w:lineRule="auto"/>
              <w:ind w:left="360"/>
              <w:jc w:val="both"/>
              <w:rPr>
                <w:rFonts w:asciiTheme="minorHAnsi" w:eastAsia="Times New Roman" w:hAnsiTheme="minorHAnsi" w:cstheme="minorHAnsi"/>
                <w:color w:val="auto"/>
                <w:sz w:val="18"/>
                <w:szCs w:val="18"/>
              </w:rPr>
            </w:pPr>
          </w:p>
        </w:tc>
        <w:tc>
          <w:tcPr>
            <w:tcW w:w="1564" w:type="dxa"/>
            <w:tcBorders>
              <w:top w:val="single" w:sz="4" w:space="0" w:color="auto"/>
              <w:bottom w:val="single" w:sz="4" w:space="0" w:color="auto"/>
            </w:tcBorders>
          </w:tcPr>
          <w:p w14:paraId="39A5EF2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2DD38EDE" w14:textId="77777777" w:rsidR="00580760" w:rsidRPr="00217C2A" w:rsidRDefault="00580760" w:rsidP="00C66C9F">
            <w:pPr>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912 ± 34</w:t>
            </w:r>
          </w:p>
        </w:tc>
        <w:tc>
          <w:tcPr>
            <w:tcW w:w="1844" w:type="dxa"/>
            <w:tcBorders>
              <w:top w:val="single" w:sz="4" w:space="0" w:color="auto"/>
              <w:bottom w:val="single" w:sz="4" w:space="0" w:color="auto"/>
            </w:tcBorders>
          </w:tcPr>
          <w:p w14:paraId="281CB83C"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 xml:space="preserve"> </w:t>
            </w:r>
            <w:r w:rsidRPr="00217C2A">
              <w:rPr>
                <w:rFonts w:asciiTheme="minorHAnsi" w:eastAsia="Times New Roman" w:hAnsiTheme="minorHAnsi" w:cstheme="minorHAnsi"/>
                <w:color w:val="auto"/>
                <w:sz w:val="18"/>
                <w:szCs w:val="18"/>
              </w:rPr>
              <w:t>0.370 ± 0.008</w:t>
            </w:r>
          </w:p>
        </w:tc>
      </w:tr>
      <w:tr w:rsidR="00217C2A" w:rsidRPr="00217C2A" w14:paraId="4006E5BA" w14:textId="77777777" w:rsidTr="00DD0231">
        <w:tc>
          <w:tcPr>
            <w:tcW w:w="1129" w:type="dxa"/>
            <w:tcBorders>
              <w:top w:val="single" w:sz="4" w:space="0" w:color="auto"/>
              <w:bottom w:val="single" w:sz="4" w:space="0" w:color="auto"/>
            </w:tcBorders>
            <w:shd w:val="clear" w:color="auto" w:fill="auto"/>
          </w:tcPr>
          <w:p w14:paraId="29A23A8E"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F2w-1</w:t>
            </w:r>
          </w:p>
        </w:tc>
        <w:tc>
          <w:tcPr>
            <w:tcW w:w="1134" w:type="dxa"/>
            <w:tcBorders>
              <w:top w:val="single" w:sz="4" w:space="0" w:color="auto"/>
              <w:bottom w:val="single" w:sz="4" w:space="0" w:color="auto"/>
            </w:tcBorders>
          </w:tcPr>
          <w:p w14:paraId="4FAD1441"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tcBorders>
              <w:top w:val="single" w:sz="4" w:space="0" w:color="auto"/>
              <w:bottom w:val="single" w:sz="4" w:space="0" w:color="auto"/>
            </w:tcBorders>
          </w:tcPr>
          <w:p w14:paraId="3DEEE412"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10B053F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10 µM</w:t>
            </w:r>
          </w:p>
        </w:tc>
        <w:tc>
          <w:tcPr>
            <w:tcW w:w="851" w:type="dxa"/>
            <w:tcBorders>
              <w:top w:val="single" w:sz="4" w:space="0" w:color="auto"/>
              <w:bottom w:val="single" w:sz="4" w:space="0" w:color="auto"/>
            </w:tcBorders>
          </w:tcPr>
          <w:p w14:paraId="5791106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1:4</w:t>
            </w:r>
          </w:p>
        </w:tc>
        <w:tc>
          <w:tcPr>
            <w:tcW w:w="992" w:type="dxa"/>
            <w:tcBorders>
              <w:top w:val="single" w:sz="4" w:space="0" w:color="auto"/>
              <w:bottom w:val="single" w:sz="4" w:space="0" w:color="auto"/>
            </w:tcBorders>
          </w:tcPr>
          <w:p w14:paraId="732E2C2E"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4D61E3D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1276" w:type="dxa"/>
            <w:tcBorders>
              <w:top w:val="single" w:sz="4" w:space="0" w:color="auto"/>
              <w:bottom w:val="single" w:sz="4" w:space="0" w:color="auto"/>
            </w:tcBorders>
          </w:tcPr>
          <w:p w14:paraId="3F6E5DC9" w14:textId="77777777" w:rsidR="00580760" w:rsidRPr="00217C2A" w:rsidRDefault="00580760" w:rsidP="00C66C9F">
            <w:pPr>
              <w:pStyle w:val="Default"/>
              <w:spacing w:beforeLines="120" w:before="288" w:afterLines="120" w:after="288" w:line="360" w:lineRule="auto"/>
              <w:ind w:left="360"/>
              <w:jc w:val="both"/>
              <w:rPr>
                <w:rFonts w:asciiTheme="minorHAnsi" w:eastAsia="Times New Roman" w:hAnsiTheme="minorHAnsi" w:cstheme="minorHAnsi"/>
                <w:color w:val="auto"/>
                <w:sz w:val="18"/>
                <w:szCs w:val="18"/>
              </w:rPr>
            </w:pPr>
          </w:p>
        </w:tc>
        <w:tc>
          <w:tcPr>
            <w:tcW w:w="1564" w:type="dxa"/>
            <w:tcBorders>
              <w:top w:val="single" w:sz="4" w:space="0" w:color="auto"/>
              <w:bottom w:val="single" w:sz="4" w:space="0" w:color="auto"/>
            </w:tcBorders>
          </w:tcPr>
          <w:p w14:paraId="0810C81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06D87BDD" w14:textId="77777777" w:rsidR="00580760" w:rsidRPr="00217C2A" w:rsidRDefault="00580760" w:rsidP="00C66C9F">
            <w:pPr>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2154 ± 134</w:t>
            </w:r>
          </w:p>
        </w:tc>
        <w:tc>
          <w:tcPr>
            <w:tcW w:w="1844" w:type="dxa"/>
            <w:tcBorders>
              <w:top w:val="single" w:sz="4" w:space="0" w:color="auto"/>
              <w:bottom w:val="single" w:sz="4" w:space="0" w:color="auto"/>
            </w:tcBorders>
          </w:tcPr>
          <w:p w14:paraId="3A148389"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0.332 ± 0.025</w:t>
            </w:r>
          </w:p>
        </w:tc>
      </w:tr>
      <w:tr w:rsidR="00217C2A" w:rsidRPr="00217C2A" w14:paraId="5572582A" w14:textId="77777777" w:rsidTr="00DD0231">
        <w:tc>
          <w:tcPr>
            <w:tcW w:w="1129" w:type="dxa"/>
            <w:tcBorders>
              <w:top w:val="single" w:sz="4" w:space="0" w:color="auto"/>
              <w:bottom w:val="single" w:sz="4" w:space="0" w:color="auto"/>
            </w:tcBorders>
          </w:tcPr>
          <w:p w14:paraId="63A7EAE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F3w-1</w:t>
            </w:r>
          </w:p>
        </w:tc>
        <w:tc>
          <w:tcPr>
            <w:tcW w:w="1134" w:type="dxa"/>
            <w:tcBorders>
              <w:top w:val="single" w:sz="4" w:space="0" w:color="auto"/>
              <w:bottom w:val="single" w:sz="4" w:space="0" w:color="auto"/>
            </w:tcBorders>
          </w:tcPr>
          <w:p w14:paraId="3BECAEE9"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tcBorders>
              <w:top w:val="single" w:sz="4" w:space="0" w:color="auto"/>
              <w:bottom w:val="single" w:sz="4" w:space="0" w:color="auto"/>
            </w:tcBorders>
          </w:tcPr>
          <w:p w14:paraId="01FF038E"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992" w:type="dxa"/>
            <w:tcBorders>
              <w:top w:val="single" w:sz="4" w:space="0" w:color="auto"/>
              <w:bottom w:val="single" w:sz="4" w:space="0" w:color="auto"/>
            </w:tcBorders>
          </w:tcPr>
          <w:p w14:paraId="2F38091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12.5 µM</w:t>
            </w:r>
          </w:p>
        </w:tc>
        <w:tc>
          <w:tcPr>
            <w:tcW w:w="851" w:type="dxa"/>
            <w:tcBorders>
              <w:top w:val="single" w:sz="4" w:space="0" w:color="auto"/>
              <w:bottom w:val="single" w:sz="4" w:space="0" w:color="auto"/>
            </w:tcBorders>
          </w:tcPr>
          <w:p w14:paraId="13C0D10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1:5</w:t>
            </w:r>
          </w:p>
        </w:tc>
        <w:tc>
          <w:tcPr>
            <w:tcW w:w="992" w:type="dxa"/>
            <w:tcBorders>
              <w:top w:val="single" w:sz="4" w:space="0" w:color="auto"/>
              <w:bottom w:val="single" w:sz="4" w:space="0" w:color="auto"/>
            </w:tcBorders>
          </w:tcPr>
          <w:p w14:paraId="671EFF8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997" w:type="dxa"/>
            <w:tcBorders>
              <w:top w:val="single" w:sz="4" w:space="0" w:color="auto"/>
              <w:bottom w:val="single" w:sz="4" w:space="0" w:color="auto"/>
            </w:tcBorders>
          </w:tcPr>
          <w:p w14:paraId="2B3EF5E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1276" w:type="dxa"/>
            <w:tcBorders>
              <w:top w:val="single" w:sz="4" w:space="0" w:color="auto"/>
              <w:bottom w:val="single" w:sz="4" w:space="0" w:color="auto"/>
            </w:tcBorders>
          </w:tcPr>
          <w:p w14:paraId="296B85EB" w14:textId="77777777" w:rsidR="00580760" w:rsidRPr="00217C2A" w:rsidRDefault="00580760" w:rsidP="00C66C9F">
            <w:pPr>
              <w:pStyle w:val="Default"/>
              <w:spacing w:beforeLines="120" w:before="288" w:afterLines="120" w:after="288" w:line="360" w:lineRule="auto"/>
              <w:ind w:left="360"/>
              <w:jc w:val="both"/>
              <w:rPr>
                <w:rFonts w:asciiTheme="minorHAnsi" w:eastAsia="Times New Roman" w:hAnsiTheme="minorHAnsi" w:cstheme="minorHAnsi"/>
                <w:color w:val="auto"/>
                <w:sz w:val="18"/>
                <w:szCs w:val="18"/>
              </w:rPr>
            </w:pPr>
          </w:p>
        </w:tc>
        <w:tc>
          <w:tcPr>
            <w:tcW w:w="1564" w:type="dxa"/>
            <w:tcBorders>
              <w:top w:val="single" w:sz="4" w:space="0" w:color="auto"/>
              <w:bottom w:val="single" w:sz="4" w:space="0" w:color="auto"/>
            </w:tcBorders>
          </w:tcPr>
          <w:p w14:paraId="1CFD3F4C"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3A71FF8E" w14:textId="77777777" w:rsidR="00580760" w:rsidRPr="00217C2A" w:rsidRDefault="00580760" w:rsidP="00C66C9F">
            <w:pPr>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1357 ± 106</w:t>
            </w:r>
          </w:p>
        </w:tc>
        <w:tc>
          <w:tcPr>
            <w:tcW w:w="1844" w:type="dxa"/>
            <w:tcBorders>
              <w:top w:val="single" w:sz="4" w:space="0" w:color="auto"/>
              <w:bottom w:val="single" w:sz="4" w:space="0" w:color="auto"/>
            </w:tcBorders>
          </w:tcPr>
          <w:p w14:paraId="4265C639"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0.332 ± 0.040</w:t>
            </w:r>
          </w:p>
        </w:tc>
      </w:tr>
      <w:tr w:rsidR="00217C2A" w:rsidRPr="00217C2A" w14:paraId="49E44152" w14:textId="77777777" w:rsidTr="00DD0231">
        <w:tc>
          <w:tcPr>
            <w:tcW w:w="1129" w:type="dxa"/>
            <w:tcBorders>
              <w:top w:val="single" w:sz="4" w:space="0" w:color="auto"/>
              <w:bottom w:val="single" w:sz="4" w:space="0" w:color="auto"/>
            </w:tcBorders>
          </w:tcPr>
          <w:p w14:paraId="1EAD2CD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F4w</w:t>
            </w:r>
          </w:p>
        </w:tc>
        <w:tc>
          <w:tcPr>
            <w:tcW w:w="1134" w:type="dxa"/>
            <w:vMerge w:val="restart"/>
            <w:tcBorders>
              <w:top w:val="single" w:sz="4" w:space="0" w:color="auto"/>
              <w:bottom w:val="single" w:sz="4" w:space="0" w:color="auto"/>
            </w:tcBorders>
          </w:tcPr>
          <w:p w14:paraId="749DBE98" w14:textId="77777777" w:rsidR="00580760" w:rsidRPr="00217C2A" w:rsidRDefault="00580760" w:rsidP="00C66C9F">
            <w:pPr>
              <w:spacing w:beforeLines="120" w:before="288" w:afterLines="120" w:after="288" w:line="360" w:lineRule="auto"/>
              <w:ind w:left="360"/>
              <w:jc w:val="both"/>
              <w:rPr>
                <w:rStyle w:val="Strong"/>
                <w:rFonts w:ascii="Segoe UI" w:hAnsi="Segoe UI" w:cstheme="minorHAnsi"/>
                <w:b w:val="0"/>
                <w:bCs w:val="0"/>
                <w:sz w:val="18"/>
                <w:szCs w:val="18"/>
              </w:rPr>
            </w:pPr>
            <w:r w:rsidRPr="00217C2A">
              <w:rPr>
                <w:rFonts w:cstheme="minorHAnsi"/>
                <w:sz w:val="18"/>
                <w:szCs w:val="18"/>
              </w:rPr>
              <w:t>M23 1.25µM</w:t>
            </w:r>
          </w:p>
        </w:tc>
        <w:tc>
          <w:tcPr>
            <w:tcW w:w="1276" w:type="dxa"/>
            <w:tcBorders>
              <w:top w:val="single" w:sz="4" w:space="0" w:color="auto"/>
              <w:bottom w:val="single" w:sz="4" w:space="0" w:color="auto"/>
            </w:tcBorders>
          </w:tcPr>
          <w:p w14:paraId="62A5B78A"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Style w:val="Strong"/>
                <w:rFonts w:cstheme="minorHAnsi"/>
                <w:b w:val="0"/>
                <w:bCs w:val="0"/>
                <w:sz w:val="18"/>
                <w:szCs w:val="18"/>
              </w:rPr>
              <w:t>+1.654 (7.4)</w:t>
            </w:r>
          </w:p>
        </w:tc>
        <w:tc>
          <w:tcPr>
            <w:tcW w:w="992" w:type="dxa"/>
            <w:tcBorders>
              <w:top w:val="single" w:sz="4" w:space="0" w:color="auto"/>
              <w:bottom w:val="single" w:sz="4" w:space="0" w:color="auto"/>
            </w:tcBorders>
          </w:tcPr>
          <w:p w14:paraId="0A7F1FBF"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0</w:t>
            </w:r>
          </w:p>
        </w:tc>
        <w:tc>
          <w:tcPr>
            <w:tcW w:w="851" w:type="dxa"/>
            <w:tcBorders>
              <w:top w:val="single" w:sz="4" w:space="0" w:color="auto"/>
              <w:bottom w:val="single" w:sz="4" w:space="0" w:color="auto"/>
            </w:tcBorders>
          </w:tcPr>
          <w:p w14:paraId="49F1AA78"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992" w:type="dxa"/>
            <w:tcBorders>
              <w:top w:val="single" w:sz="4" w:space="0" w:color="auto"/>
              <w:bottom w:val="single" w:sz="4" w:space="0" w:color="auto"/>
            </w:tcBorders>
          </w:tcPr>
          <w:p w14:paraId="57258D64"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Water</w:t>
            </w:r>
          </w:p>
        </w:tc>
        <w:tc>
          <w:tcPr>
            <w:tcW w:w="997" w:type="dxa"/>
            <w:tcBorders>
              <w:top w:val="single" w:sz="4" w:space="0" w:color="auto"/>
              <w:bottom w:val="single" w:sz="4" w:space="0" w:color="auto"/>
            </w:tcBorders>
          </w:tcPr>
          <w:p w14:paraId="56AE2053"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No</w:t>
            </w:r>
          </w:p>
        </w:tc>
        <w:tc>
          <w:tcPr>
            <w:tcW w:w="1276" w:type="dxa"/>
            <w:tcBorders>
              <w:top w:val="single" w:sz="4" w:space="0" w:color="auto"/>
              <w:bottom w:val="single" w:sz="4" w:space="0" w:color="auto"/>
            </w:tcBorders>
          </w:tcPr>
          <w:p w14:paraId="711AF8AD"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p>
        </w:tc>
        <w:tc>
          <w:tcPr>
            <w:tcW w:w="1564" w:type="dxa"/>
            <w:tcBorders>
              <w:top w:val="single" w:sz="4" w:space="0" w:color="auto"/>
              <w:bottom w:val="single" w:sz="4" w:space="0" w:color="auto"/>
            </w:tcBorders>
          </w:tcPr>
          <w:p w14:paraId="32C2ED99"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Turbid suspension</w:t>
            </w:r>
          </w:p>
        </w:tc>
        <w:tc>
          <w:tcPr>
            <w:tcW w:w="1695" w:type="dxa"/>
            <w:tcBorders>
              <w:top w:val="single" w:sz="4" w:space="0" w:color="auto"/>
              <w:bottom w:val="single" w:sz="4" w:space="0" w:color="auto"/>
            </w:tcBorders>
          </w:tcPr>
          <w:p w14:paraId="7B21DE0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1844" w:type="dxa"/>
            <w:tcBorders>
              <w:top w:val="single" w:sz="4" w:space="0" w:color="auto"/>
              <w:bottom w:val="single" w:sz="4" w:space="0" w:color="auto"/>
            </w:tcBorders>
          </w:tcPr>
          <w:p w14:paraId="5D4F650B"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r>
      <w:tr w:rsidR="00217C2A" w:rsidRPr="00217C2A" w14:paraId="06B933A4" w14:textId="77777777" w:rsidTr="00DD0231">
        <w:tc>
          <w:tcPr>
            <w:tcW w:w="1129" w:type="dxa"/>
            <w:tcBorders>
              <w:top w:val="single" w:sz="4" w:space="0" w:color="auto"/>
              <w:bottom w:val="single" w:sz="4" w:space="0" w:color="auto"/>
            </w:tcBorders>
          </w:tcPr>
          <w:p w14:paraId="54AAB6F6"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lastRenderedPageBreak/>
              <w:t>F5hcl</w:t>
            </w:r>
          </w:p>
        </w:tc>
        <w:tc>
          <w:tcPr>
            <w:tcW w:w="1134" w:type="dxa"/>
            <w:vMerge/>
            <w:tcBorders>
              <w:top w:val="single" w:sz="4" w:space="0" w:color="auto"/>
              <w:bottom w:val="single" w:sz="4" w:space="0" w:color="auto"/>
            </w:tcBorders>
          </w:tcPr>
          <w:p w14:paraId="3439E2D8"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tcBorders>
              <w:top w:val="single" w:sz="4" w:space="0" w:color="auto"/>
              <w:bottom w:val="single" w:sz="4" w:space="0" w:color="auto"/>
            </w:tcBorders>
          </w:tcPr>
          <w:p w14:paraId="2BC04C64"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Style w:val="Strong"/>
                <w:rFonts w:cstheme="minorHAnsi"/>
                <w:b w:val="0"/>
                <w:bCs w:val="0"/>
                <w:sz w:val="18"/>
                <w:szCs w:val="18"/>
              </w:rPr>
              <w:t>+</w:t>
            </w:r>
            <w:r w:rsidRPr="00217C2A">
              <w:rPr>
                <w:rFonts w:cstheme="minorHAnsi"/>
                <w:sz w:val="18"/>
                <w:szCs w:val="18"/>
              </w:rPr>
              <w:t>12.252 (5)</w:t>
            </w:r>
          </w:p>
        </w:tc>
        <w:tc>
          <w:tcPr>
            <w:tcW w:w="992" w:type="dxa"/>
            <w:tcBorders>
              <w:top w:val="single" w:sz="4" w:space="0" w:color="auto"/>
              <w:bottom w:val="single" w:sz="4" w:space="0" w:color="auto"/>
            </w:tcBorders>
          </w:tcPr>
          <w:p w14:paraId="0B3F5C97"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0</w:t>
            </w:r>
          </w:p>
        </w:tc>
        <w:tc>
          <w:tcPr>
            <w:tcW w:w="851" w:type="dxa"/>
            <w:tcBorders>
              <w:top w:val="single" w:sz="4" w:space="0" w:color="auto"/>
              <w:bottom w:val="single" w:sz="4" w:space="0" w:color="auto"/>
            </w:tcBorders>
          </w:tcPr>
          <w:p w14:paraId="18CFD28B"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NA</w:t>
            </w:r>
          </w:p>
        </w:tc>
        <w:tc>
          <w:tcPr>
            <w:tcW w:w="992" w:type="dxa"/>
            <w:tcBorders>
              <w:top w:val="single" w:sz="4" w:space="0" w:color="auto"/>
              <w:bottom w:val="single" w:sz="4" w:space="0" w:color="auto"/>
            </w:tcBorders>
          </w:tcPr>
          <w:p w14:paraId="77CCCF1F"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HCL</w:t>
            </w:r>
          </w:p>
        </w:tc>
        <w:tc>
          <w:tcPr>
            <w:tcW w:w="997" w:type="dxa"/>
            <w:tcBorders>
              <w:top w:val="single" w:sz="4" w:space="0" w:color="auto"/>
              <w:bottom w:val="single" w:sz="4" w:space="0" w:color="auto"/>
            </w:tcBorders>
          </w:tcPr>
          <w:p w14:paraId="0732D40C"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No</w:t>
            </w:r>
          </w:p>
        </w:tc>
        <w:tc>
          <w:tcPr>
            <w:tcW w:w="1276" w:type="dxa"/>
            <w:tcBorders>
              <w:top w:val="single" w:sz="4" w:space="0" w:color="auto"/>
              <w:bottom w:val="single" w:sz="4" w:space="0" w:color="auto"/>
            </w:tcBorders>
          </w:tcPr>
          <w:p w14:paraId="43FD8688"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p>
        </w:tc>
        <w:tc>
          <w:tcPr>
            <w:tcW w:w="1564" w:type="dxa"/>
            <w:tcBorders>
              <w:top w:val="single" w:sz="4" w:space="0" w:color="auto"/>
              <w:bottom w:val="single" w:sz="4" w:space="0" w:color="auto"/>
            </w:tcBorders>
          </w:tcPr>
          <w:p w14:paraId="701EF5C1"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Turbid suspension</w:t>
            </w:r>
          </w:p>
        </w:tc>
        <w:tc>
          <w:tcPr>
            <w:tcW w:w="1695" w:type="dxa"/>
            <w:tcBorders>
              <w:top w:val="single" w:sz="4" w:space="0" w:color="auto"/>
              <w:bottom w:val="single" w:sz="4" w:space="0" w:color="auto"/>
            </w:tcBorders>
          </w:tcPr>
          <w:p w14:paraId="6EC6F1F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c>
          <w:tcPr>
            <w:tcW w:w="1844" w:type="dxa"/>
            <w:tcBorders>
              <w:top w:val="single" w:sz="4" w:space="0" w:color="auto"/>
              <w:bottom w:val="single" w:sz="4" w:space="0" w:color="auto"/>
            </w:tcBorders>
          </w:tcPr>
          <w:p w14:paraId="613D4627"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NA</w:t>
            </w:r>
          </w:p>
        </w:tc>
      </w:tr>
      <w:tr w:rsidR="00217C2A" w:rsidRPr="00217C2A" w14:paraId="1C32B7C6" w14:textId="77777777" w:rsidTr="00DD0231">
        <w:tc>
          <w:tcPr>
            <w:tcW w:w="1129" w:type="dxa"/>
            <w:tcBorders>
              <w:top w:val="single" w:sz="4" w:space="0" w:color="auto"/>
              <w:bottom w:val="single" w:sz="4" w:space="0" w:color="auto"/>
            </w:tcBorders>
          </w:tcPr>
          <w:p w14:paraId="09FEDC8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F6hcl</w:t>
            </w:r>
          </w:p>
        </w:tc>
        <w:tc>
          <w:tcPr>
            <w:tcW w:w="1134" w:type="dxa"/>
            <w:vMerge/>
            <w:tcBorders>
              <w:top w:val="single" w:sz="4" w:space="0" w:color="auto"/>
              <w:bottom w:val="single" w:sz="4" w:space="0" w:color="auto"/>
            </w:tcBorders>
          </w:tcPr>
          <w:p w14:paraId="115E87CD"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val="restart"/>
            <w:tcBorders>
              <w:top w:val="single" w:sz="4" w:space="0" w:color="auto"/>
              <w:bottom w:val="single" w:sz="4" w:space="0" w:color="auto"/>
            </w:tcBorders>
          </w:tcPr>
          <w:p w14:paraId="728C80C3" w14:textId="77777777" w:rsidR="00580760" w:rsidRPr="00217C2A" w:rsidRDefault="00580760" w:rsidP="00C66C9F">
            <w:pPr>
              <w:spacing w:beforeLines="120" w:before="288" w:afterLines="120" w:after="288" w:line="360" w:lineRule="auto"/>
              <w:ind w:left="360"/>
              <w:jc w:val="both"/>
              <w:rPr>
                <w:rStyle w:val="Strong"/>
                <w:rFonts w:cstheme="minorHAnsi"/>
                <w:b w:val="0"/>
                <w:bCs w:val="0"/>
                <w:sz w:val="18"/>
                <w:szCs w:val="18"/>
              </w:rPr>
            </w:pPr>
            <w:r w:rsidRPr="00217C2A">
              <w:rPr>
                <w:rStyle w:val="Strong"/>
                <w:rFonts w:cstheme="minorHAnsi"/>
                <w:b w:val="0"/>
                <w:bCs w:val="0"/>
                <w:sz w:val="18"/>
                <w:szCs w:val="18"/>
              </w:rPr>
              <w:t>+</w:t>
            </w:r>
            <w:r w:rsidRPr="00217C2A">
              <w:rPr>
                <w:rFonts w:cstheme="minorHAnsi"/>
                <w:sz w:val="18"/>
                <w:szCs w:val="18"/>
              </w:rPr>
              <w:t>25.92 (1.92)</w:t>
            </w:r>
          </w:p>
        </w:tc>
        <w:tc>
          <w:tcPr>
            <w:tcW w:w="992" w:type="dxa"/>
            <w:tcBorders>
              <w:top w:val="single" w:sz="4" w:space="0" w:color="auto"/>
              <w:bottom w:val="single" w:sz="4" w:space="0" w:color="auto"/>
            </w:tcBorders>
          </w:tcPr>
          <w:p w14:paraId="1334A903"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0</w:t>
            </w:r>
          </w:p>
        </w:tc>
        <w:tc>
          <w:tcPr>
            <w:tcW w:w="851" w:type="dxa"/>
            <w:tcBorders>
              <w:top w:val="single" w:sz="4" w:space="0" w:color="auto"/>
              <w:bottom w:val="single" w:sz="4" w:space="0" w:color="auto"/>
            </w:tcBorders>
          </w:tcPr>
          <w:p w14:paraId="6644886B"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NA</w:t>
            </w:r>
          </w:p>
        </w:tc>
        <w:tc>
          <w:tcPr>
            <w:tcW w:w="992" w:type="dxa"/>
            <w:tcBorders>
              <w:top w:val="single" w:sz="4" w:space="0" w:color="auto"/>
              <w:bottom w:val="single" w:sz="4" w:space="0" w:color="auto"/>
            </w:tcBorders>
          </w:tcPr>
          <w:p w14:paraId="6E3250C7"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HCL</w:t>
            </w:r>
          </w:p>
        </w:tc>
        <w:tc>
          <w:tcPr>
            <w:tcW w:w="997" w:type="dxa"/>
            <w:tcBorders>
              <w:top w:val="single" w:sz="4" w:space="0" w:color="auto"/>
              <w:bottom w:val="single" w:sz="4" w:space="0" w:color="auto"/>
            </w:tcBorders>
          </w:tcPr>
          <w:p w14:paraId="1B51CF51"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No</w:t>
            </w:r>
          </w:p>
        </w:tc>
        <w:tc>
          <w:tcPr>
            <w:tcW w:w="1276" w:type="dxa"/>
            <w:tcBorders>
              <w:top w:val="single" w:sz="4" w:space="0" w:color="auto"/>
              <w:bottom w:val="single" w:sz="4" w:space="0" w:color="auto"/>
            </w:tcBorders>
          </w:tcPr>
          <w:p w14:paraId="2C8B14FE"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p>
        </w:tc>
        <w:tc>
          <w:tcPr>
            <w:tcW w:w="1564" w:type="dxa"/>
            <w:tcBorders>
              <w:top w:val="single" w:sz="4" w:space="0" w:color="auto"/>
              <w:bottom w:val="single" w:sz="4" w:space="0" w:color="auto"/>
            </w:tcBorders>
          </w:tcPr>
          <w:p w14:paraId="6EB12172"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Transparent solution</w:t>
            </w:r>
          </w:p>
        </w:tc>
        <w:tc>
          <w:tcPr>
            <w:tcW w:w="1695" w:type="dxa"/>
            <w:tcBorders>
              <w:top w:val="single" w:sz="4" w:space="0" w:color="auto"/>
              <w:bottom w:val="single" w:sz="4" w:space="0" w:color="auto"/>
            </w:tcBorders>
          </w:tcPr>
          <w:p w14:paraId="1C5D1611" w14:textId="13EF3D4F"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189 ± 58</w:t>
            </w:r>
          </w:p>
        </w:tc>
        <w:tc>
          <w:tcPr>
            <w:tcW w:w="1844" w:type="dxa"/>
            <w:tcBorders>
              <w:top w:val="single" w:sz="4" w:space="0" w:color="auto"/>
              <w:bottom w:val="single" w:sz="4" w:space="0" w:color="auto"/>
            </w:tcBorders>
          </w:tcPr>
          <w:p w14:paraId="3A244332"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eastAsia="Times New Roman" w:cstheme="minorHAnsi"/>
                <w:sz w:val="18"/>
                <w:szCs w:val="18"/>
              </w:rPr>
              <w:t>0.434 ± 0.049</w:t>
            </w:r>
          </w:p>
        </w:tc>
      </w:tr>
      <w:tr w:rsidR="00217C2A" w:rsidRPr="00217C2A" w14:paraId="56979EE9" w14:textId="77777777" w:rsidTr="00DD0231">
        <w:tc>
          <w:tcPr>
            <w:tcW w:w="1129" w:type="dxa"/>
            <w:tcBorders>
              <w:top w:val="single" w:sz="4" w:space="0" w:color="auto"/>
              <w:bottom w:val="single" w:sz="4" w:space="0" w:color="auto"/>
            </w:tcBorders>
          </w:tcPr>
          <w:p w14:paraId="60C0DBE7"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F6hcl-1</w:t>
            </w:r>
          </w:p>
        </w:tc>
        <w:tc>
          <w:tcPr>
            <w:tcW w:w="1134" w:type="dxa"/>
            <w:vMerge/>
            <w:tcBorders>
              <w:top w:val="single" w:sz="4" w:space="0" w:color="auto"/>
              <w:bottom w:val="single" w:sz="4" w:space="0" w:color="auto"/>
            </w:tcBorders>
          </w:tcPr>
          <w:p w14:paraId="61C116DD"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47971658" w14:textId="77777777" w:rsidR="00580760" w:rsidRPr="00217C2A" w:rsidRDefault="00580760" w:rsidP="00C66C9F">
            <w:pPr>
              <w:spacing w:beforeLines="120" w:before="288" w:afterLines="120" w:after="288" w:line="360" w:lineRule="auto"/>
              <w:ind w:left="360"/>
              <w:jc w:val="both"/>
              <w:rPr>
                <w:rStyle w:val="Strong"/>
                <w:rFonts w:cstheme="minorHAnsi"/>
                <w:b w:val="0"/>
                <w:bCs w:val="0"/>
                <w:sz w:val="18"/>
                <w:szCs w:val="18"/>
              </w:rPr>
            </w:pPr>
          </w:p>
        </w:tc>
        <w:tc>
          <w:tcPr>
            <w:tcW w:w="992" w:type="dxa"/>
            <w:tcBorders>
              <w:top w:val="single" w:sz="4" w:space="0" w:color="auto"/>
              <w:bottom w:val="single" w:sz="4" w:space="0" w:color="auto"/>
            </w:tcBorders>
          </w:tcPr>
          <w:p w14:paraId="0A4103B1"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1.25 µM</w:t>
            </w:r>
          </w:p>
          <w:p w14:paraId="7B3748FB"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p>
        </w:tc>
        <w:tc>
          <w:tcPr>
            <w:tcW w:w="851" w:type="dxa"/>
            <w:tcBorders>
              <w:top w:val="single" w:sz="4" w:space="0" w:color="auto"/>
              <w:bottom w:val="single" w:sz="4" w:space="0" w:color="auto"/>
            </w:tcBorders>
          </w:tcPr>
          <w:p w14:paraId="12F7C16B"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1:1</w:t>
            </w:r>
          </w:p>
        </w:tc>
        <w:tc>
          <w:tcPr>
            <w:tcW w:w="992" w:type="dxa"/>
            <w:tcBorders>
              <w:top w:val="single" w:sz="4" w:space="0" w:color="auto"/>
              <w:bottom w:val="single" w:sz="4" w:space="0" w:color="auto"/>
            </w:tcBorders>
          </w:tcPr>
          <w:p w14:paraId="45C3DFA4"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HCL</w:t>
            </w:r>
          </w:p>
        </w:tc>
        <w:tc>
          <w:tcPr>
            <w:tcW w:w="997" w:type="dxa"/>
            <w:tcBorders>
              <w:top w:val="single" w:sz="4" w:space="0" w:color="auto"/>
              <w:bottom w:val="single" w:sz="4" w:space="0" w:color="auto"/>
            </w:tcBorders>
          </w:tcPr>
          <w:p w14:paraId="06677225"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No</w:t>
            </w:r>
          </w:p>
        </w:tc>
        <w:tc>
          <w:tcPr>
            <w:tcW w:w="1276" w:type="dxa"/>
            <w:tcBorders>
              <w:top w:val="single" w:sz="4" w:space="0" w:color="auto"/>
              <w:bottom w:val="single" w:sz="4" w:space="0" w:color="auto"/>
            </w:tcBorders>
          </w:tcPr>
          <w:p w14:paraId="4992A791"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p>
        </w:tc>
        <w:tc>
          <w:tcPr>
            <w:tcW w:w="1564" w:type="dxa"/>
            <w:tcBorders>
              <w:top w:val="single" w:sz="4" w:space="0" w:color="auto"/>
              <w:bottom w:val="single" w:sz="4" w:space="0" w:color="auto"/>
            </w:tcBorders>
          </w:tcPr>
          <w:p w14:paraId="1A33536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3E123A5B"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90 ± 16</w:t>
            </w:r>
          </w:p>
        </w:tc>
        <w:tc>
          <w:tcPr>
            <w:tcW w:w="1844" w:type="dxa"/>
            <w:tcBorders>
              <w:top w:val="single" w:sz="4" w:space="0" w:color="auto"/>
              <w:bottom w:val="single" w:sz="4" w:space="0" w:color="auto"/>
            </w:tcBorders>
          </w:tcPr>
          <w:p w14:paraId="5C557C8A" w14:textId="77777777" w:rsidR="00580760" w:rsidRPr="00217C2A" w:rsidRDefault="00580760" w:rsidP="00C66C9F">
            <w:pPr>
              <w:spacing w:beforeLines="120" w:before="288" w:afterLines="120" w:after="288" w:line="360" w:lineRule="auto"/>
              <w:ind w:left="360"/>
              <w:jc w:val="both"/>
              <w:rPr>
                <w:rFonts w:eastAsia="Times New Roman" w:cstheme="minorHAnsi"/>
                <w:sz w:val="18"/>
                <w:szCs w:val="18"/>
              </w:rPr>
            </w:pPr>
            <w:r w:rsidRPr="00217C2A">
              <w:rPr>
                <w:rFonts w:eastAsia="Times New Roman" w:cstheme="minorHAnsi"/>
                <w:sz w:val="18"/>
                <w:szCs w:val="18"/>
              </w:rPr>
              <w:t>0.606 ± 0.147</w:t>
            </w:r>
          </w:p>
        </w:tc>
      </w:tr>
      <w:tr w:rsidR="00217C2A" w:rsidRPr="00217C2A" w14:paraId="68C23701" w14:textId="77777777" w:rsidTr="00DD0231">
        <w:tc>
          <w:tcPr>
            <w:tcW w:w="1129" w:type="dxa"/>
            <w:tcBorders>
              <w:top w:val="single" w:sz="4" w:space="0" w:color="auto"/>
              <w:bottom w:val="single" w:sz="4" w:space="0" w:color="auto"/>
            </w:tcBorders>
          </w:tcPr>
          <w:p w14:paraId="11B83640"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F6hcl-3</w:t>
            </w:r>
          </w:p>
        </w:tc>
        <w:tc>
          <w:tcPr>
            <w:tcW w:w="1134" w:type="dxa"/>
            <w:vMerge/>
            <w:tcBorders>
              <w:top w:val="single" w:sz="4" w:space="0" w:color="auto"/>
              <w:bottom w:val="single" w:sz="4" w:space="0" w:color="auto"/>
            </w:tcBorders>
          </w:tcPr>
          <w:p w14:paraId="6305F46A" w14:textId="77777777" w:rsidR="00580760" w:rsidRPr="00217C2A" w:rsidRDefault="00580760" w:rsidP="00C66C9F">
            <w:pPr>
              <w:spacing w:beforeLines="120" w:before="288" w:afterLines="120" w:after="288" w:line="360" w:lineRule="auto"/>
              <w:ind w:left="360"/>
              <w:jc w:val="both"/>
              <w:rPr>
                <w:rFonts w:cstheme="minorHAnsi"/>
                <w:sz w:val="18"/>
                <w:szCs w:val="18"/>
              </w:rPr>
            </w:pPr>
          </w:p>
        </w:tc>
        <w:tc>
          <w:tcPr>
            <w:tcW w:w="1276" w:type="dxa"/>
            <w:vMerge/>
            <w:tcBorders>
              <w:top w:val="single" w:sz="4" w:space="0" w:color="auto"/>
              <w:bottom w:val="single" w:sz="4" w:space="0" w:color="auto"/>
            </w:tcBorders>
          </w:tcPr>
          <w:p w14:paraId="767E6510" w14:textId="77777777" w:rsidR="00580760" w:rsidRPr="00217C2A" w:rsidRDefault="00580760" w:rsidP="00C66C9F">
            <w:pPr>
              <w:spacing w:beforeLines="120" w:before="288" w:afterLines="120" w:after="288" w:line="360" w:lineRule="auto"/>
              <w:ind w:left="360"/>
              <w:jc w:val="both"/>
              <w:rPr>
                <w:rStyle w:val="Strong"/>
                <w:rFonts w:cstheme="minorHAnsi"/>
                <w:b w:val="0"/>
                <w:bCs w:val="0"/>
                <w:sz w:val="18"/>
                <w:szCs w:val="18"/>
              </w:rPr>
            </w:pPr>
          </w:p>
        </w:tc>
        <w:tc>
          <w:tcPr>
            <w:tcW w:w="992" w:type="dxa"/>
            <w:tcBorders>
              <w:top w:val="single" w:sz="4" w:space="0" w:color="auto"/>
              <w:bottom w:val="single" w:sz="4" w:space="0" w:color="auto"/>
            </w:tcBorders>
          </w:tcPr>
          <w:p w14:paraId="69F81FDB"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proofErr w:type="gramStart"/>
            <w:r w:rsidRPr="00217C2A">
              <w:rPr>
                <w:rFonts w:cstheme="minorHAnsi"/>
                <w:sz w:val="18"/>
                <w:szCs w:val="18"/>
              </w:rPr>
              <w:t>3.75  µ</w:t>
            </w:r>
            <w:proofErr w:type="gramEnd"/>
            <w:r w:rsidRPr="00217C2A">
              <w:rPr>
                <w:rFonts w:cstheme="minorHAnsi"/>
                <w:sz w:val="18"/>
                <w:szCs w:val="18"/>
              </w:rPr>
              <w:t>M</w:t>
            </w:r>
          </w:p>
        </w:tc>
        <w:tc>
          <w:tcPr>
            <w:tcW w:w="851" w:type="dxa"/>
            <w:tcBorders>
              <w:top w:val="single" w:sz="4" w:space="0" w:color="auto"/>
              <w:bottom w:val="single" w:sz="4" w:space="0" w:color="auto"/>
            </w:tcBorders>
          </w:tcPr>
          <w:p w14:paraId="6EEAF6F0"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1:3</w:t>
            </w:r>
          </w:p>
        </w:tc>
        <w:tc>
          <w:tcPr>
            <w:tcW w:w="992" w:type="dxa"/>
            <w:tcBorders>
              <w:top w:val="single" w:sz="4" w:space="0" w:color="auto"/>
              <w:bottom w:val="single" w:sz="4" w:space="0" w:color="auto"/>
            </w:tcBorders>
          </w:tcPr>
          <w:p w14:paraId="471041FC"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HCL</w:t>
            </w:r>
          </w:p>
        </w:tc>
        <w:tc>
          <w:tcPr>
            <w:tcW w:w="997" w:type="dxa"/>
            <w:tcBorders>
              <w:top w:val="single" w:sz="4" w:space="0" w:color="auto"/>
              <w:bottom w:val="single" w:sz="4" w:space="0" w:color="auto"/>
            </w:tcBorders>
          </w:tcPr>
          <w:p w14:paraId="55C0307F"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No</w:t>
            </w:r>
          </w:p>
        </w:tc>
        <w:tc>
          <w:tcPr>
            <w:tcW w:w="1276" w:type="dxa"/>
            <w:tcBorders>
              <w:top w:val="single" w:sz="4" w:space="0" w:color="auto"/>
              <w:bottom w:val="single" w:sz="4" w:space="0" w:color="auto"/>
            </w:tcBorders>
          </w:tcPr>
          <w:p w14:paraId="49114AB5"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p>
        </w:tc>
        <w:tc>
          <w:tcPr>
            <w:tcW w:w="1564" w:type="dxa"/>
            <w:tcBorders>
              <w:top w:val="single" w:sz="4" w:space="0" w:color="auto"/>
              <w:bottom w:val="single" w:sz="4" w:space="0" w:color="auto"/>
            </w:tcBorders>
          </w:tcPr>
          <w:p w14:paraId="376BE20A"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hAnsiTheme="minorHAnsi" w:cstheme="minorHAnsi"/>
                <w:color w:val="auto"/>
                <w:sz w:val="18"/>
                <w:szCs w:val="18"/>
              </w:rPr>
              <w:t>Opalescent suspension</w:t>
            </w:r>
          </w:p>
        </w:tc>
        <w:tc>
          <w:tcPr>
            <w:tcW w:w="1695" w:type="dxa"/>
            <w:tcBorders>
              <w:top w:val="single" w:sz="4" w:space="0" w:color="auto"/>
              <w:bottom w:val="single" w:sz="4" w:space="0" w:color="auto"/>
            </w:tcBorders>
          </w:tcPr>
          <w:p w14:paraId="40CB5CC5" w14:textId="77777777" w:rsidR="00580760" w:rsidRPr="00217C2A" w:rsidRDefault="00580760" w:rsidP="00C66C9F">
            <w:pPr>
              <w:pStyle w:val="Default"/>
              <w:spacing w:beforeLines="120" w:before="288" w:afterLines="120" w:after="288" w:line="360" w:lineRule="auto"/>
              <w:ind w:left="360"/>
              <w:jc w:val="both"/>
              <w:rPr>
                <w:rFonts w:asciiTheme="minorHAnsi" w:hAnsiTheme="minorHAnsi" w:cstheme="minorHAnsi"/>
                <w:color w:val="auto"/>
                <w:sz w:val="18"/>
                <w:szCs w:val="18"/>
              </w:rPr>
            </w:pPr>
            <w:r w:rsidRPr="00217C2A">
              <w:rPr>
                <w:rFonts w:asciiTheme="minorHAnsi" w:eastAsia="Times New Roman" w:hAnsiTheme="minorHAnsi" w:cstheme="minorHAnsi"/>
                <w:color w:val="auto"/>
                <w:sz w:val="18"/>
                <w:szCs w:val="18"/>
              </w:rPr>
              <w:t>57 ± 4</w:t>
            </w:r>
          </w:p>
        </w:tc>
        <w:tc>
          <w:tcPr>
            <w:tcW w:w="1844" w:type="dxa"/>
            <w:tcBorders>
              <w:top w:val="single" w:sz="4" w:space="0" w:color="auto"/>
              <w:bottom w:val="single" w:sz="4" w:space="0" w:color="auto"/>
            </w:tcBorders>
          </w:tcPr>
          <w:p w14:paraId="54B2C1D0" w14:textId="77777777" w:rsidR="00580760" w:rsidRPr="00217C2A" w:rsidRDefault="00580760" w:rsidP="00C66C9F">
            <w:pPr>
              <w:spacing w:beforeLines="120" w:before="288" w:afterLines="120" w:after="288" w:line="360" w:lineRule="auto"/>
              <w:ind w:left="360"/>
              <w:jc w:val="both"/>
              <w:rPr>
                <w:rFonts w:eastAsia="Times New Roman" w:cstheme="minorHAnsi"/>
                <w:sz w:val="18"/>
                <w:szCs w:val="18"/>
              </w:rPr>
            </w:pPr>
            <w:r w:rsidRPr="00217C2A">
              <w:rPr>
                <w:rFonts w:cstheme="minorHAnsi"/>
                <w:sz w:val="18"/>
                <w:szCs w:val="18"/>
              </w:rPr>
              <w:t xml:space="preserve">0.533 </w:t>
            </w:r>
            <w:r w:rsidRPr="00217C2A">
              <w:rPr>
                <w:rFonts w:eastAsia="Times New Roman" w:cstheme="minorHAnsi"/>
                <w:sz w:val="18"/>
                <w:szCs w:val="18"/>
              </w:rPr>
              <w:t xml:space="preserve">± </w:t>
            </w:r>
            <w:r w:rsidRPr="00217C2A">
              <w:rPr>
                <w:rFonts w:cstheme="minorHAnsi"/>
                <w:sz w:val="18"/>
                <w:szCs w:val="18"/>
              </w:rPr>
              <w:t>0.080</w:t>
            </w:r>
          </w:p>
        </w:tc>
      </w:tr>
    </w:tbl>
    <w:p w14:paraId="7DC51786" w14:textId="77777777"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sz w:val="18"/>
          <w:szCs w:val="18"/>
        </w:rPr>
        <w:t>NA, not applicable</w:t>
      </w:r>
    </w:p>
    <w:p w14:paraId="0D245AAE" w14:textId="77777777" w:rsidR="00580760" w:rsidRPr="00217C2A" w:rsidRDefault="00580760" w:rsidP="00C66C9F">
      <w:pPr>
        <w:spacing w:beforeLines="120" w:before="288" w:afterLines="120" w:after="288" w:line="360" w:lineRule="auto"/>
        <w:ind w:left="360"/>
        <w:jc w:val="both"/>
        <w:rPr>
          <w:rFonts w:cstheme="minorHAnsi"/>
          <w:sz w:val="18"/>
          <w:szCs w:val="18"/>
        </w:rPr>
      </w:pPr>
    </w:p>
    <w:p w14:paraId="46B7875F" w14:textId="77777777" w:rsidR="00580760" w:rsidRPr="00217C2A" w:rsidRDefault="00580760" w:rsidP="00C66C9F">
      <w:pPr>
        <w:spacing w:beforeLines="120" w:before="288" w:afterLines="120" w:after="288" w:line="360" w:lineRule="auto"/>
        <w:ind w:left="360"/>
        <w:jc w:val="both"/>
        <w:rPr>
          <w:rFonts w:cstheme="minorHAnsi"/>
          <w:sz w:val="18"/>
          <w:szCs w:val="18"/>
        </w:rPr>
        <w:sectPr w:rsidR="00580760" w:rsidRPr="00217C2A" w:rsidSect="00DB373D">
          <w:pgSz w:w="15840" w:h="12240" w:orient="landscape"/>
          <w:pgMar w:top="1440" w:right="1440" w:bottom="1440" w:left="1440" w:header="708" w:footer="708" w:gutter="0"/>
          <w:cols w:space="708"/>
          <w:docGrid w:linePitch="360"/>
        </w:sectPr>
      </w:pPr>
    </w:p>
    <w:p w14:paraId="393551A2" w14:textId="77777777" w:rsidR="00580760" w:rsidRPr="00217C2A" w:rsidRDefault="00580760" w:rsidP="00C66C9F">
      <w:pPr>
        <w:spacing w:beforeLines="120" w:before="288" w:afterLines="120" w:after="288" w:line="360" w:lineRule="auto"/>
        <w:ind w:left="360"/>
        <w:jc w:val="both"/>
        <w:rPr>
          <w:rFonts w:cstheme="minorHAnsi"/>
          <w:b/>
          <w:bCs/>
          <w:sz w:val="18"/>
          <w:szCs w:val="18"/>
        </w:rPr>
      </w:pPr>
      <w:bookmarkStart w:id="5" w:name="_Hlk162957143"/>
      <w:bookmarkStart w:id="6" w:name="_Hlk152224122"/>
      <w:r w:rsidRPr="00217C2A">
        <w:rPr>
          <w:rFonts w:cstheme="minorHAnsi"/>
          <w:b/>
          <w:bCs/>
          <w:noProof/>
          <w:sz w:val="18"/>
          <w:szCs w:val="18"/>
          <w14:ligatures w14:val="standardContextual"/>
        </w:rPr>
        <w:lastRenderedPageBreak/>
        <w:drawing>
          <wp:inline distT="0" distB="0" distL="0" distR="0" wp14:anchorId="0935E706" wp14:editId="73EC8B52">
            <wp:extent cx="5943600" cy="6042660"/>
            <wp:effectExtent l="0" t="0" r="0" b="0"/>
            <wp:docPr id="10349688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68805" name="Picture 10349688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042660"/>
                    </a:xfrm>
                    <a:prstGeom prst="rect">
                      <a:avLst/>
                    </a:prstGeom>
                  </pic:spPr>
                </pic:pic>
              </a:graphicData>
            </a:graphic>
          </wp:inline>
        </w:drawing>
      </w:r>
    </w:p>
    <w:p w14:paraId="516E2E5E" w14:textId="0E139803" w:rsidR="00580760" w:rsidRPr="00217C2A" w:rsidRDefault="00580760" w:rsidP="002A5B90">
      <w:pPr>
        <w:spacing w:beforeLines="120" w:before="288" w:afterLines="120" w:after="288" w:line="360" w:lineRule="auto"/>
        <w:ind w:left="360"/>
        <w:jc w:val="both"/>
        <w:rPr>
          <w:rFonts w:cstheme="minorHAnsi"/>
          <w:sz w:val="18"/>
          <w:szCs w:val="18"/>
        </w:rPr>
      </w:pPr>
      <w:r w:rsidRPr="00217C2A">
        <w:rPr>
          <w:rFonts w:cstheme="minorHAnsi"/>
          <w:b/>
          <w:bCs/>
          <w:sz w:val="18"/>
          <w:szCs w:val="18"/>
        </w:rPr>
        <w:t>Figure S1.</w:t>
      </w:r>
      <w:r w:rsidRPr="00217C2A">
        <w:rPr>
          <w:rFonts w:cstheme="minorHAnsi"/>
          <w:sz w:val="18"/>
          <w:szCs w:val="18"/>
        </w:rPr>
        <w:t xml:space="preserve"> (A) M23-PP NPs</w:t>
      </w:r>
      <w:r w:rsidR="00BA01F0" w:rsidRPr="00217C2A">
        <w:rPr>
          <w:rFonts w:cstheme="minorHAnsi"/>
          <w:sz w:val="18"/>
          <w:szCs w:val="18"/>
        </w:rPr>
        <w:t>, M23 to PP ratio 1:7</w:t>
      </w:r>
      <w:r w:rsidRPr="00217C2A">
        <w:rPr>
          <w:rFonts w:cstheme="minorHAnsi"/>
          <w:sz w:val="18"/>
          <w:szCs w:val="18"/>
        </w:rPr>
        <w:t xml:space="preserve"> and (B) </w:t>
      </w:r>
      <w:bookmarkStart w:id="7" w:name="_Hlk172023488"/>
      <w:r w:rsidRPr="00217C2A">
        <w:rPr>
          <w:rFonts w:cstheme="minorHAnsi"/>
          <w:sz w:val="18"/>
          <w:szCs w:val="18"/>
        </w:rPr>
        <w:t>GH15-PP NPs</w:t>
      </w:r>
      <w:bookmarkEnd w:id="7"/>
      <w:r w:rsidR="00BA01F0" w:rsidRPr="00217C2A">
        <w:rPr>
          <w:rFonts w:cstheme="minorHAnsi"/>
          <w:sz w:val="18"/>
          <w:szCs w:val="18"/>
        </w:rPr>
        <w:t>, GH15 to PP ratio 1:5</w:t>
      </w:r>
      <w:r w:rsidRPr="00217C2A">
        <w:rPr>
          <w:rFonts w:cstheme="minorHAnsi"/>
          <w:sz w:val="18"/>
          <w:szCs w:val="18"/>
        </w:rPr>
        <w:t xml:space="preserve"> analyzed by TEM were in coincidence with the DS </w:t>
      </w:r>
      <w:r w:rsidR="00D303A0" w:rsidRPr="00217C2A">
        <w:rPr>
          <w:rFonts w:cstheme="minorHAnsi"/>
          <w:sz w:val="18"/>
          <w:szCs w:val="18"/>
        </w:rPr>
        <w:t xml:space="preserve">and PDI </w:t>
      </w:r>
      <w:r w:rsidRPr="00217C2A">
        <w:rPr>
          <w:rFonts w:cstheme="minorHAnsi"/>
          <w:sz w:val="18"/>
          <w:szCs w:val="18"/>
        </w:rPr>
        <w:t xml:space="preserve">described in </w:t>
      </w:r>
      <w:r w:rsidRPr="00217C2A">
        <w:rPr>
          <w:rFonts w:cstheme="minorHAnsi"/>
          <w:b/>
          <w:bCs/>
          <w:sz w:val="18"/>
          <w:szCs w:val="18"/>
        </w:rPr>
        <w:t xml:space="preserve">Figure 1 </w:t>
      </w:r>
      <w:r w:rsidRPr="00217C2A">
        <w:rPr>
          <w:rFonts w:cstheme="minorHAnsi"/>
          <w:sz w:val="18"/>
          <w:szCs w:val="18"/>
        </w:rPr>
        <w:t>(main manuscript).</w:t>
      </w:r>
      <w:r w:rsidR="002A5B90" w:rsidRPr="00217C2A">
        <w:rPr>
          <w:rFonts w:cstheme="minorHAnsi"/>
          <w:sz w:val="18"/>
          <w:szCs w:val="18"/>
        </w:rPr>
        <w:t xml:space="preserve"> The presence of </w:t>
      </w:r>
      <w:r w:rsidR="005A509E" w:rsidRPr="00217C2A">
        <w:rPr>
          <w:rFonts w:cstheme="minorHAnsi"/>
          <w:sz w:val="18"/>
          <w:szCs w:val="18"/>
        </w:rPr>
        <w:t>GH15-PP NPs</w:t>
      </w:r>
      <w:r w:rsidR="002A5B90" w:rsidRPr="00217C2A">
        <w:rPr>
          <w:rFonts w:cstheme="minorHAnsi"/>
          <w:sz w:val="18"/>
          <w:szCs w:val="18"/>
        </w:rPr>
        <w:t xml:space="preserve"> of smaller dimensions than those found </w:t>
      </w:r>
      <w:r w:rsidR="005A509E" w:rsidRPr="00217C2A">
        <w:rPr>
          <w:rFonts w:cstheme="minorHAnsi"/>
          <w:sz w:val="18"/>
          <w:szCs w:val="18"/>
        </w:rPr>
        <w:t>by</w:t>
      </w:r>
      <w:r w:rsidR="002A5B90" w:rsidRPr="00217C2A">
        <w:rPr>
          <w:rFonts w:cstheme="minorHAnsi"/>
          <w:sz w:val="18"/>
          <w:szCs w:val="18"/>
        </w:rPr>
        <w:t xml:space="preserve"> DLS</w:t>
      </w:r>
      <w:r w:rsidR="005A509E" w:rsidRPr="00217C2A">
        <w:rPr>
          <w:rFonts w:cstheme="minorHAnsi"/>
          <w:sz w:val="18"/>
          <w:szCs w:val="18"/>
        </w:rPr>
        <w:t xml:space="preserve"> (</w:t>
      </w:r>
      <w:r w:rsidR="000C7589" w:rsidRPr="00217C2A">
        <w:rPr>
          <w:rFonts w:cstheme="minorHAnsi"/>
          <w:sz w:val="18"/>
          <w:szCs w:val="18"/>
        </w:rPr>
        <w:t>Figure 1B, main manuscript</w:t>
      </w:r>
      <w:r w:rsidR="005A509E" w:rsidRPr="00217C2A">
        <w:rPr>
          <w:rFonts w:cstheme="minorHAnsi"/>
          <w:sz w:val="18"/>
          <w:szCs w:val="18"/>
        </w:rPr>
        <w:t>)</w:t>
      </w:r>
      <w:r w:rsidR="002A5B90" w:rsidRPr="00217C2A">
        <w:rPr>
          <w:rFonts w:cstheme="minorHAnsi"/>
          <w:sz w:val="18"/>
          <w:szCs w:val="18"/>
        </w:rPr>
        <w:t xml:space="preserve"> can be explained by the differences in </w:t>
      </w:r>
      <w:r w:rsidR="005A509E" w:rsidRPr="00217C2A">
        <w:rPr>
          <w:rFonts w:cstheme="minorHAnsi"/>
          <w:sz w:val="18"/>
          <w:szCs w:val="18"/>
        </w:rPr>
        <w:t>the fundaments</w:t>
      </w:r>
      <w:r w:rsidR="002A5B90" w:rsidRPr="00217C2A">
        <w:rPr>
          <w:rFonts w:cstheme="minorHAnsi"/>
          <w:sz w:val="18"/>
          <w:szCs w:val="18"/>
        </w:rPr>
        <w:t xml:space="preserve"> of both complementary characterization techniques.</w:t>
      </w:r>
      <w:r w:rsidR="009A6C26" w:rsidRPr="00217C2A">
        <w:rPr>
          <w:rFonts w:cstheme="minorHAnsi"/>
          <w:sz w:val="18"/>
          <w:szCs w:val="18"/>
          <w:vertAlign w:val="superscript"/>
        </w:rPr>
        <w:t>8,14</w:t>
      </w:r>
    </w:p>
    <w:bookmarkEnd w:id="5"/>
    <w:p w14:paraId="4D897EC8" w14:textId="77777777" w:rsidR="00580760" w:rsidRPr="00217C2A" w:rsidRDefault="00580760" w:rsidP="00C66C9F">
      <w:pPr>
        <w:spacing w:beforeLines="120" w:before="288" w:afterLines="120" w:after="288" w:line="360" w:lineRule="auto"/>
        <w:ind w:left="360"/>
        <w:rPr>
          <w:rFonts w:cstheme="minorHAnsi"/>
          <w:sz w:val="18"/>
          <w:szCs w:val="18"/>
        </w:rPr>
      </w:pPr>
      <w:r w:rsidRPr="00217C2A">
        <w:rPr>
          <w:rFonts w:cstheme="minorHAnsi"/>
          <w:sz w:val="18"/>
          <w:szCs w:val="18"/>
        </w:rPr>
        <w:br w:type="page"/>
      </w:r>
    </w:p>
    <w:p w14:paraId="04D1C906" w14:textId="6E95B2A1" w:rsidR="0033766C" w:rsidRPr="00217C2A" w:rsidRDefault="00C5333D" w:rsidP="0033766C">
      <w:pPr>
        <w:autoSpaceDE w:val="0"/>
        <w:autoSpaceDN w:val="0"/>
        <w:adjustRightInd w:val="0"/>
        <w:spacing w:after="120" w:line="240" w:lineRule="exact"/>
        <w:jc w:val="both"/>
        <w:rPr>
          <w:rFonts w:cstheme="minorHAnsi"/>
          <w:sz w:val="18"/>
          <w:szCs w:val="18"/>
        </w:rPr>
      </w:pPr>
      <w:bookmarkStart w:id="8" w:name="_Hlk172236080"/>
      <w:r w:rsidRPr="00217C2A">
        <w:rPr>
          <w:rFonts w:cstheme="minorHAnsi"/>
          <w:b/>
          <w:bCs/>
          <w:noProof/>
          <w:sz w:val="18"/>
          <w:szCs w:val="18"/>
          <w14:ligatures w14:val="standardContextual"/>
        </w:rPr>
        <w:lastRenderedPageBreak/>
        <w:drawing>
          <wp:anchor distT="0" distB="0" distL="114300" distR="114300" simplePos="0" relativeHeight="251658240" behindDoc="0" locked="0" layoutInCell="1" allowOverlap="1" wp14:anchorId="7FF2BE40" wp14:editId="7FD2E475">
            <wp:simplePos x="0" y="0"/>
            <wp:positionH relativeFrom="column">
              <wp:posOffset>0</wp:posOffset>
            </wp:positionH>
            <wp:positionV relativeFrom="paragraph">
              <wp:posOffset>0</wp:posOffset>
            </wp:positionV>
            <wp:extent cx="5943600" cy="2607310"/>
            <wp:effectExtent l="0" t="0" r="0" b="0"/>
            <wp:wrapSquare wrapText="bothSides"/>
            <wp:docPr id="12934104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1041" name="Picture 1"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607310"/>
                    </a:xfrm>
                    <a:prstGeom prst="rect">
                      <a:avLst/>
                    </a:prstGeom>
                  </pic:spPr>
                </pic:pic>
              </a:graphicData>
            </a:graphic>
          </wp:anchor>
        </w:drawing>
      </w:r>
      <w:r w:rsidR="0033766C" w:rsidRPr="00217C2A">
        <w:rPr>
          <w:rFonts w:cstheme="minorHAnsi"/>
          <w:b/>
          <w:bCs/>
          <w:sz w:val="18"/>
          <w:szCs w:val="18"/>
        </w:rPr>
        <w:t xml:space="preserve">Figure S2. </w:t>
      </w:r>
      <w:r w:rsidR="0033766C" w:rsidRPr="00217C2A">
        <w:rPr>
          <w:rFonts w:cstheme="minorHAnsi"/>
          <w:sz w:val="18"/>
          <w:szCs w:val="18"/>
        </w:rPr>
        <w:t>Cell viability for free and encapsulated PGHs towards (A) Caco2 and (B) HeLa. Indicated values are means (n=5) ± SD. Dotted line in (B) indicates viability around 80%.</w:t>
      </w:r>
    </w:p>
    <w:bookmarkEnd w:id="8"/>
    <w:p w14:paraId="441A5C76" w14:textId="7F199A3B" w:rsidR="0033766C" w:rsidRPr="00217C2A" w:rsidRDefault="0033766C">
      <w:pPr>
        <w:rPr>
          <w:rFonts w:cstheme="minorHAnsi"/>
          <w:sz w:val="18"/>
          <w:szCs w:val="18"/>
        </w:rPr>
      </w:pPr>
      <w:r w:rsidRPr="00217C2A">
        <w:rPr>
          <w:rFonts w:cstheme="minorHAnsi"/>
          <w:sz w:val="18"/>
          <w:szCs w:val="18"/>
        </w:rPr>
        <w:br w:type="page"/>
      </w:r>
    </w:p>
    <w:p w14:paraId="40D244F2" w14:textId="3004D5CB" w:rsidR="00C72D7D" w:rsidRPr="00217C2A" w:rsidRDefault="007C446B" w:rsidP="00C66C9F">
      <w:pPr>
        <w:spacing w:beforeLines="120" w:before="288" w:afterLines="120" w:after="288" w:line="360" w:lineRule="auto"/>
        <w:ind w:left="360"/>
        <w:jc w:val="both"/>
        <w:rPr>
          <w:rFonts w:cstheme="minorHAnsi"/>
          <w:sz w:val="18"/>
          <w:szCs w:val="18"/>
          <w:lang w:val="en-GB"/>
        </w:rPr>
      </w:pPr>
      <w:bookmarkStart w:id="9" w:name="_Hlk171412337"/>
      <w:bookmarkStart w:id="10" w:name="_Hlk172106654"/>
      <w:bookmarkStart w:id="11" w:name="_Hlk172107910"/>
      <w:r w:rsidRPr="00217C2A">
        <w:rPr>
          <w:rFonts w:cstheme="minorHAnsi"/>
          <w:noProof/>
          <w:sz w:val="18"/>
          <w:szCs w:val="18"/>
          <w:lang w:val="en-GB"/>
          <w14:ligatures w14:val="standardContextual"/>
        </w:rPr>
        <w:lastRenderedPageBreak/>
        <w:drawing>
          <wp:inline distT="0" distB="0" distL="0" distR="0" wp14:anchorId="448AA2C4" wp14:editId="2A943469">
            <wp:extent cx="5760732" cy="5760732"/>
            <wp:effectExtent l="0" t="0" r="0" b="0"/>
            <wp:docPr id="1083279640"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79640" name="Picture 4"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32" cy="5760732"/>
                    </a:xfrm>
                    <a:prstGeom prst="rect">
                      <a:avLst/>
                    </a:prstGeom>
                  </pic:spPr>
                </pic:pic>
              </a:graphicData>
            </a:graphic>
          </wp:inline>
        </w:drawing>
      </w:r>
    </w:p>
    <w:p w14:paraId="2561BB5B" w14:textId="779DC206" w:rsidR="000861A2" w:rsidRPr="00217C2A" w:rsidRDefault="00C72D7D" w:rsidP="00C66C9F">
      <w:pPr>
        <w:autoSpaceDE w:val="0"/>
        <w:autoSpaceDN w:val="0"/>
        <w:spacing w:beforeLines="120" w:before="288" w:afterLines="120" w:after="288" w:line="360" w:lineRule="auto"/>
        <w:ind w:left="360"/>
        <w:jc w:val="center"/>
        <w:rPr>
          <w:rFonts w:cstheme="minorHAnsi"/>
          <w:b/>
          <w:bCs/>
          <w:sz w:val="18"/>
          <w:szCs w:val="18"/>
          <w:lang w:val="en-GB"/>
        </w:rPr>
      </w:pPr>
      <w:r w:rsidRPr="00217C2A">
        <w:rPr>
          <w:rFonts w:cstheme="minorHAnsi"/>
          <w:b/>
          <w:bCs/>
          <w:sz w:val="18"/>
          <w:szCs w:val="18"/>
          <w:lang w:val="en-GB"/>
        </w:rPr>
        <w:t>Figure S</w:t>
      </w:r>
      <w:r w:rsidR="00D97D7F" w:rsidRPr="00217C2A">
        <w:rPr>
          <w:rFonts w:cstheme="minorHAnsi"/>
          <w:b/>
          <w:bCs/>
          <w:sz w:val="18"/>
          <w:szCs w:val="18"/>
          <w:lang w:val="en-GB"/>
        </w:rPr>
        <w:t>3</w:t>
      </w:r>
      <w:r w:rsidRPr="00217C2A">
        <w:rPr>
          <w:rFonts w:cstheme="minorHAnsi"/>
          <w:b/>
          <w:bCs/>
          <w:sz w:val="18"/>
          <w:szCs w:val="18"/>
          <w:lang w:val="en-GB"/>
        </w:rPr>
        <w:t xml:space="preserve">. </w:t>
      </w:r>
      <w:r w:rsidRPr="00217C2A">
        <w:rPr>
          <w:rFonts w:cstheme="minorHAnsi"/>
          <w:sz w:val="18"/>
          <w:szCs w:val="18"/>
          <w:lang w:val="en-GB"/>
        </w:rPr>
        <w:t xml:space="preserve">PP-GHs NPs </w:t>
      </w:r>
      <w:r w:rsidR="00D57ED0" w:rsidRPr="00217C2A">
        <w:rPr>
          <w:rFonts w:cstheme="minorHAnsi"/>
          <w:sz w:val="18"/>
          <w:szCs w:val="18"/>
          <w:lang w:val="en-GB"/>
        </w:rPr>
        <w:t xml:space="preserve">size </w:t>
      </w:r>
      <w:r w:rsidRPr="00217C2A">
        <w:rPr>
          <w:rFonts w:cstheme="minorHAnsi"/>
          <w:sz w:val="18"/>
          <w:szCs w:val="18"/>
          <w:lang w:val="en-GB"/>
        </w:rPr>
        <w:t>changes upon AP activity for (A) M23-PP</w:t>
      </w:r>
      <w:r w:rsidR="009D12C7" w:rsidRPr="00217C2A">
        <w:rPr>
          <w:rFonts w:cstheme="minorHAnsi"/>
          <w:sz w:val="18"/>
          <w:szCs w:val="18"/>
          <w:lang w:val="en-GB"/>
        </w:rPr>
        <w:t>,</w:t>
      </w:r>
      <w:r w:rsidRPr="00217C2A">
        <w:rPr>
          <w:rFonts w:cstheme="minorHAnsi"/>
          <w:sz w:val="18"/>
          <w:szCs w:val="18"/>
          <w:lang w:val="en-GB"/>
        </w:rPr>
        <w:t xml:space="preserve"> </w:t>
      </w:r>
      <w:r w:rsidR="00C66C9F" w:rsidRPr="00217C2A">
        <w:rPr>
          <w:rFonts w:cstheme="minorHAnsi"/>
          <w:sz w:val="18"/>
          <w:szCs w:val="18"/>
        </w:rPr>
        <w:t xml:space="preserve">M23 to PP ratio 1:7 </w:t>
      </w:r>
      <w:r w:rsidRPr="00217C2A">
        <w:rPr>
          <w:rFonts w:cstheme="minorHAnsi"/>
          <w:sz w:val="18"/>
          <w:szCs w:val="18"/>
          <w:lang w:val="en-GB"/>
        </w:rPr>
        <w:t>and (B) GH15-PP NPs</w:t>
      </w:r>
      <w:r w:rsidR="00C66C9F" w:rsidRPr="00217C2A">
        <w:rPr>
          <w:rFonts w:cstheme="minorHAnsi"/>
          <w:sz w:val="18"/>
          <w:szCs w:val="18"/>
          <w:lang w:val="en-GB"/>
        </w:rPr>
        <w:t xml:space="preserve">, </w:t>
      </w:r>
      <w:r w:rsidR="00C66C9F" w:rsidRPr="00217C2A">
        <w:rPr>
          <w:rFonts w:cstheme="minorHAnsi"/>
          <w:sz w:val="18"/>
          <w:szCs w:val="18"/>
        </w:rPr>
        <w:t>GH15 to PP ratio 1:5</w:t>
      </w:r>
      <w:r w:rsidRPr="00217C2A">
        <w:rPr>
          <w:rFonts w:cstheme="minorHAnsi"/>
          <w:sz w:val="18"/>
          <w:szCs w:val="18"/>
          <w:lang w:val="en-GB"/>
        </w:rPr>
        <w:t>.</w:t>
      </w:r>
      <w:r w:rsidR="00D57ED0" w:rsidRPr="00217C2A">
        <w:rPr>
          <w:rFonts w:cstheme="minorHAnsi"/>
          <w:sz w:val="18"/>
          <w:szCs w:val="18"/>
          <w:lang w:val="en-GB"/>
        </w:rPr>
        <w:t xml:space="preserve"> The corresponding zeta potentials are shown at the foot of each figure.</w:t>
      </w:r>
    </w:p>
    <w:bookmarkEnd w:id="9"/>
    <w:p w14:paraId="00DC598F" w14:textId="17E85A94" w:rsidR="00CE151D" w:rsidRPr="00217C2A" w:rsidRDefault="00CE151D" w:rsidP="00C66C9F">
      <w:pPr>
        <w:autoSpaceDE w:val="0"/>
        <w:autoSpaceDN w:val="0"/>
        <w:spacing w:beforeLines="120" w:before="288" w:afterLines="120" w:after="288" w:line="360" w:lineRule="auto"/>
        <w:ind w:left="360"/>
        <w:jc w:val="both"/>
        <w:rPr>
          <w:rFonts w:cstheme="minorHAnsi"/>
          <w:sz w:val="18"/>
          <w:szCs w:val="18"/>
        </w:rPr>
      </w:pPr>
      <w:r w:rsidRPr="00217C2A">
        <w:rPr>
          <w:rFonts w:cstheme="minorHAnsi"/>
          <w:sz w:val="18"/>
          <w:szCs w:val="18"/>
        </w:rPr>
        <w:t xml:space="preserve">A pronounced increase in size for PP-M23 and shift in charge to less positive zeta potentials (Δ8.9 mV) was observed upon 2h of AP treatment, confirming the </w:t>
      </w:r>
      <w:r w:rsidR="00C365D2" w:rsidRPr="00217C2A">
        <w:rPr>
          <w:rFonts w:cstheme="minorHAnsi"/>
          <w:sz w:val="18"/>
          <w:szCs w:val="18"/>
        </w:rPr>
        <w:t>net charge change triggered</w:t>
      </w:r>
      <w:r w:rsidRPr="00217C2A">
        <w:rPr>
          <w:rFonts w:cstheme="minorHAnsi"/>
          <w:sz w:val="18"/>
          <w:szCs w:val="18"/>
        </w:rPr>
        <w:t xml:space="preserve"> by AP. The rise in NPs size can be explained by particle aggregation resulting from less repulsion, probably due to increased </w:t>
      </w:r>
      <w:r w:rsidR="00BB1AF3" w:rsidRPr="00217C2A">
        <w:rPr>
          <w:rFonts w:cstheme="minorHAnsi"/>
          <w:sz w:val="18"/>
          <w:szCs w:val="18"/>
        </w:rPr>
        <w:t>enrichment in</w:t>
      </w:r>
      <w:r w:rsidRPr="00217C2A">
        <w:rPr>
          <w:rFonts w:cstheme="minorHAnsi"/>
          <w:sz w:val="18"/>
          <w:szCs w:val="18"/>
        </w:rPr>
        <w:t xml:space="preserve"> of </w:t>
      </w:r>
      <w:r w:rsidR="00BB1AF3" w:rsidRPr="00217C2A">
        <w:rPr>
          <w:rFonts w:cstheme="minorHAnsi"/>
          <w:sz w:val="18"/>
          <w:szCs w:val="18"/>
        </w:rPr>
        <w:t>M23</w:t>
      </w:r>
      <w:r w:rsidRPr="00217C2A">
        <w:rPr>
          <w:rFonts w:cstheme="minorHAnsi"/>
          <w:sz w:val="18"/>
          <w:szCs w:val="18"/>
        </w:rPr>
        <w:t xml:space="preserve"> on the surface of NPs. These results are consistent with the slow phosphate release observed for these NPs (</w:t>
      </w:r>
      <w:r w:rsidRPr="00217C2A">
        <w:rPr>
          <w:rFonts w:cstheme="minorHAnsi"/>
          <w:b/>
          <w:bCs/>
          <w:sz w:val="18"/>
          <w:szCs w:val="18"/>
        </w:rPr>
        <w:t>Figure S3</w:t>
      </w:r>
      <w:r w:rsidRPr="00217C2A">
        <w:rPr>
          <w:rFonts w:cstheme="minorHAnsi"/>
          <w:sz w:val="18"/>
          <w:szCs w:val="18"/>
        </w:rPr>
        <w:t xml:space="preserve">), which suggests that not all phosphate moieties are located on the surface of these systems being consequently of limited access for phosphatase. </w:t>
      </w:r>
      <w:r w:rsidRPr="00217C2A">
        <w:rPr>
          <w:rFonts w:cstheme="minorHAnsi"/>
          <w:sz w:val="18"/>
          <w:szCs w:val="18"/>
          <w:vertAlign w:val="superscript"/>
        </w:rPr>
        <w:t>1</w:t>
      </w:r>
      <w:r w:rsidR="00137700" w:rsidRPr="00217C2A">
        <w:rPr>
          <w:rFonts w:cstheme="minorHAnsi"/>
          <w:sz w:val="18"/>
          <w:szCs w:val="18"/>
          <w:vertAlign w:val="superscript"/>
        </w:rPr>
        <w:t>5</w:t>
      </w:r>
      <w:r w:rsidRPr="00217C2A">
        <w:rPr>
          <w:rFonts w:cstheme="minorHAnsi"/>
          <w:sz w:val="18"/>
          <w:szCs w:val="18"/>
        </w:rPr>
        <w:t xml:space="preserve"> Such intercalated structure composed of PP and M23 led to a distribution of particle sizes in the range of 229 ±119 nm (</w:t>
      </w:r>
      <w:r w:rsidRPr="00217C2A">
        <w:rPr>
          <w:rFonts w:cstheme="minorHAnsi"/>
          <w:b/>
          <w:bCs/>
          <w:sz w:val="18"/>
          <w:szCs w:val="18"/>
        </w:rPr>
        <w:t>Figure S1A</w:t>
      </w:r>
      <w:r w:rsidRPr="00217C2A">
        <w:rPr>
          <w:rFonts w:cstheme="minorHAnsi"/>
          <w:sz w:val="18"/>
          <w:szCs w:val="18"/>
        </w:rPr>
        <w:t>) and seems to be beneficial for antimicrobial efficacy</w:t>
      </w:r>
      <w:r w:rsidR="00775242" w:rsidRPr="00217C2A">
        <w:rPr>
          <w:rFonts w:cstheme="minorHAnsi"/>
          <w:sz w:val="18"/>
          <w:szCs w:val="18"/>
        </w:rPr>
        <w:t>,</w:t>
      </w:r>
      <w:r w:rsidRPr="00217C2A">
        <w:rPr>
          <w:rFonts w:cstheme="minorHAnsi"/>
          <w:sz w:val="18"/>
          <w:szCs w:val="18"/>
        </w:rPr>
        <w:t xml:space="preserve"> compared to GH15-PP NPs (</w:t>
      </w:r>
      <w:r w:rsidRPr="00217C2A">
        <w:rPr>
          <w:rFonts w:cstheme="minorHAnsi"/>
          <w:b/>
          <w:bCs/>
          <w:sz w:val="18"/>
          <w:szCs w:val="18"/>
        </w:rPr>
        <w:t>Figure 4</w:t>
      </w:r>
      <w:r w:rsidRPr="00217C2A">
        <w:rPr>
          <w:rFonts w:cstheme="minorHAnsi"/>
          <w:sz w:val="18"/>
          <w:szCs w:val="18"/>
        </w:rPr>
        <w:t xml:space="preserve"> compared to </w:t>
      </w:r>
      <w:r w:rsidRPr="00217C2A">
        <w:rPr>
          <w:rFonts w:cstheme="minorHAnsi"/>
          <w:b/>
          <w:bCs/>
          <w:sz w:val="18"/>
          <w:szCs w:val="18"/>
        </w:rPr>
        <w:t>Figure 5</w:t>
      </w:r>
      <w:r w:rsidRPr="00217C2A">
        <w:rPr>
          <w:rFonts w:cstheme="minorHAnsi"/>
          <w:sz w:val="18"/>
          <w:szCs w:val="18"/>
        </w:rPr>
        <w:t xml:space="preserve"> in the main manuscript). </w:t>
      </w:r>
    </w:p>
    <w:p w14:paraId="75D7385F" w14:textId="1A01041F" w:rsidR="000D4376" w:rsidRPr="00217C2A" w:rsidRDefault="00CE151D" w:rsidP="00C66C9F">
      <w:pPr>
        <w:autoSpaceDE w:val="0"/>
        <w:autoSpaceDN w:val="0"/>
        <w:spacing w:beforeLines="120" w:before="288" w:afterLines="120" w:after="288" w:line="360" w:lineRule="auto"/>
        <w:ind w:left="360"/>
        <w:jc w:val="both"/>
        <w:rPr>
          <w:rFonts w:cstheme="minorHAnsi"/>
          <w:sz w:val="18"/>
          <w:szCs w:val="18"/>
        </w:rPr>
      </w:pPr>
      <w:r w:rsidRPr="00217C2A">
        <w:rPr>
          <w:rFonts w:cstheme="minorHAnsi"/>
          <w:sz w:val="18"/>
          <w:szCs w:val="18"/>
        </w:rPr>
        <w:lastRenderedPageBreak/>
        <w:t>In contrast, upon GH15-PP NPs treatment with AP for 4 hours, less pronounced change in size with non-significant shifts in zeta potential was observed (</w:t>
      </w:r>
      <w:r w:rsidRPr="00217C2A">
        <w:rPr>
          <w:rFonts w:cstheme="minorHAnsi"/>
          <w:b/>
          <w:bCs/>
          <w:sz w:val="18"/>
          <w:szCs w:val="18"/>
        </w:rPr>
        <w:t>Figure S</w:t>
      </w:r>
      <w:r w:rsidR="00D97D7F" w:rsidRPr="00217C2A">
        <w:rPr>
          <w:rFonts w:cstheme="minorHAnsi"/>
          <w:b/>
          <w:bCs/>
          <w:sz w:val="18"/>
          <w:szCs w:val="18"/>
        </w:rPr>
        <w:t>3</w:t>
      </w:r>
      <w:r w:rsidRPr="00217C2A">
        <w:rPr>
          <w:rFonts w:cstheme="minorHAnsi"/>
          <w:b/>
          <w:bCs/>
          <w:sz w:val="18"/>
          <w:szCs w:val="18"/>
        </w:rPr>
        <w:t>B</w:t>
      </w:r>
      <w:r w:rsidRPr="00217C2A">
        <w:rPr>
          <w:rFonts w:cstheme="minorHAnsi"/>
          <w:sz w:val="18"/>
          <w:szCs w:val="18"/>
        </w:rPr>
        <w:t>). This, together with a fast phosphate release upon AP treatment (</w:t>
      </w:r>
      <w:r w:rsidRPr="00217C2A">
        <w:rPr>
          <w:rFonts w:cstheme="minorHAnsi"/>
          <w:b/>
          <w:bCs/>
          <w:sz w:val="18"/>
          <w:szCs w:val="18"/>
        </w:rPr>
        <w:t>Figure S3B</w:t>
      </w:r>
      <w:r w:rsidRPr="00217C2A">
        <w:rPr>
          <w:rFonts w:cstheme="minorHAnsi"/>
          <w:sz w:val="18"/>
          <w:szCs w:val="18"/>
        </w:rPr>
        <w:t>), may suggest that polyphosphate moieties are located mostly on the surface of GH15-PP NPs impeding GH15 release; therefore, not reaching the full antimicrobial potential of the NPs after 4 h of incubation with bacterial biofilm (</w:t>
      </w:r>
      <w:r w:rsidRPr="00217C2A">
        <w:rPr>
          <w:rFonts w:cstheme="minorHAnsi"/>
          <w:b/>
          <w:bCs/>
          <w:sz w:val="18"/>
          <w:szCs w:val="18"/>
        </w:rPr>
        <w:t>Figure 5</w:t>
      </w:r>
      <w:r w:rsidRPr="00217C2A">
        <w:rPr>
          <w:rFonts w:cstheme="minorHAnsi"/>
          <w:sz w:val="18"/>
          <w:szCs w:val="18"/>
        </w:rPr>
        <w:t>, main manuscript).</w:t>
      </w:r>
      <w:r w:rsidR="000D4376" w:rsidRPr="00217C2A">
        <w:rPr>
          <w:rFonts w:cstheme="minorHAnsi"/>
          <w:b/>
          <w:bCs/>
          <w:sz w:val="18"/>
          <w:szCs w:val="18"/>
          <w:lang w:val="en-GB"/>
        </w:rPr>
        <w:br w:type="page"/>
      </w:r>
    </w:p>
    <w:p w14:paraId="625EFB64" w14:textId="24C2ACA3" w:rsidR="00956694" w:rsidRPr="00217C2A" w:rsidRDefault="00956694" w:rsidP="006C4000">
      <w:pPr>
        <w:spacing w:beforeLines="120" w:before="288" w:afterLines="120" w:after="288" w:line="360" w:lineRule="auto"/>
        <w:jc w:val="both"/>
        <w:rPr>
          <w:rFonts w:ascii="Calibri" w:hAnsi="Calibri" w:cs="Calibri"/>
          <w:sz w:val="20"/>
          <w:szCs w:val="20"/>
        </w:rPr>
      </w:pPr>
      <w:bookmarkStart w:id="12" w:name="_Hlk171412223"/>
      <w:bookmarkEnd w:id="10"/>
      <w:r w:rsidRPr="00217C2A">
        <w:rPr>
          <w:rFonts w:ascii="Calibri" w:hAnsi="Calibri" w:cs="Calibri"/>
          <w:b/>
          <w:bCs/>
          <w:sz w:val="20"/>
          <w:szCs w:val="20"/>
        </w:rPr>
        <w:lastRenderedPageBreak/>
        <w:t>Phosphate release</w:t>
      </w:r>
      <w:r w:rsidRPr="00217C2A">
        <w:rPr>
          <w:rFonts w:ascii="Calibri" w:hAnsi="Calibri" w:cs="Calibri"/>
          <w:sz w:val="20"/>
          <w:szCs w:val="20"/>
        </w:rPr>
        <w:t xml:space="preserve">. PGH-PP NPs phosphate release triggered by AP was studied for 24h either for the free polymer and the PGH-PP NPs. For this, 1 ml of PP or PP PGHs NPs were formulated at the same conditions regarding pH and polymer concentration (i.e. pH 1.92 and PP 4.375 </w:t>
      </w:r>
      <w:r w:rsidR="002040C2" w:rsidRPr="00217C2A">
        <w:rPr>
          <w:rFonts w:ascii="Calibri" w:hAnsi="Calibri" w:cs="Calibri"/>
          <w:sz w:val="20"/>
          <w:szCs w:val="20"/>
        </w:rPr>
        <w:t xml:space="preserve">µM </w:t>
      </w:r>
      <w:r w:rsidRPr="00217C2A">
        <w:rPr>
          <w:rFonts w:ascii="Calibri" w:hAnsi="Calibri" w:cs="Calibri"/>
          <w:sz w:val="20"/>
          <w:szCs w:val="20"/>
        </w:rPr>
        <w:t xml:space="preserve">for Figure S3A, and pH 7.4 PP 3.125 </w:t>
      </w:r>
      <w:r w:rsidR="002040C2" w:rsidRPr="00217C2A">
        <w:rPr>
          <w:rFonts w:ascii="Calibri" w:hAnsi="Calibri" w:cs="Calibri"/>
          <w:sz w:val="20"/>
          <w:szCs w:val="20"/>
        </w:rPr>
        <w:t>µ</w:t>
      </w:r>
      <w:r w:rsidRPr="00217C2A">
        <w:rPr>
          <w:rFonts w:ascii="Calibri" w:hAnsi="Calibri" w:cs="Calibri"/>
          <w:sz w:val="20"/>
          <w:szCs w:val="20"/>
        </w:rPr>
        <w:t xml:space="preserve">M) and placed in a dialysis tube (cut off 100-500 Da) and incubated at 37°C, under 150 rpm shaking, with HEPES buffer (control) or 0. 0006 DEA/ ml AP in HEPES. Samples were removed at 1h, 2h, 4 h and 24h, and phosphate release was determined by </w:t>
      </w:r>
      <w:r w:rsidR="002040C2" w:rsidRPr="00217C2A">
        <w:rPr>
          <w:rFonts w:ascii="Calibri" w:hAnsi="Calibri" w:cs="Calibri"/>
          <w:sz w:val="20"/>
          <w:szCs w:val="20"/>
        </w:rPr>
        <w:t>m</w:t>
      </w:r>
      <w:r w:rsidRPr="00217C2A">
        <w:rPr>
          <w:rFonts w:ascii="Calibri" w:hAnsi="Calibri" w:cs="Calibri"/>
          <w:sz w:val="20"/>
          <w:szCs w:val="20"/>
        </w:rPr>
        <w:t>alachite green as previously reported.</w:t>
      </w:r>
      <w:r w:rsidRPr="00217C2A">
        <w:rPr>
          <w:rFonts w:ascii="Calibri" w:hAnsi="Calibri" w:cs="Calibri"/>
          <w:sz w:val="20"/>
          <w:szCs w:val="20"/>
          <w:vertAlign w:val="superscript"/>
        </w:rPr>
        <w:t xml:space="preserve">7 </w:t>
      </w:r>
    </w:p>
    <w:p w14:paraId="70DF13DA" w14:textId="2472C32E" w:rsidR="00956694" w:rsidRPr="00217C2A" w:rsidRDefault="008E5E21" w:rsidP="006C4000">
      <w:pPr>
        <w:spacing w:beforeLines="120" w:before="288" w:afterLines="120" w:after="288" w:line="360" w:lineRule="auto"/>
        <w:jc w:val="both"/>
        <w:rPr>
          <w:rFonts w:ascii="Calibri" w:hAnsi="Calibri" w:cs="Calibri"/>
          <w:b/>
          <w:bCs/>
          <w:sz w:val="20"/>
          <w:szCs w:val="20"/>
        </w:rPr>
      </w:pPr>
      <w:r w:rsidRPr="00217C2A">
        <w:rPr>
          <w:rFonts w:ascii="Calibri" w:hAnsi="Calibri" w:cs="Calibri"/>
          <w:b/>
          <w:bCs/>
          <w:noProof/>
          <w:sz w:val="20"/>
          <w:szCs w:val="20"/>
          <w14:ligatures w14:val="standardContextual"/>
        </w:rPr>
        <w:drawing>
          <wp:inline distT="0" distB="0" distL="0" distR="0" wp14:anchorId="61B68EA8" wp14:editId="501551BE">
            <wp:extent cx="5943600" cy="2050415"/>
            <wp:effectExtent l="0" t="0" r="0" b="6985"/>
            <wp:docPr id="817033361"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33361" name="Picture 3" descr="A screenshot of a video g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050415"/>
                    </a:xfrm>
                    <a:prstGeom prst="rect">
                      <a:avLst/>
                    </a:prstGeom>
                  </pic:spPr>
                </pic:pic>
              </a:graphicData>
            </a:graphic>
          </wp:inline>
        </w:drawing>
      </w:r>
    </w:p>
    <w:p w14:paraId="39097AF2" w14:textId="1EBFB43B" w:rsidR="00956694" w:rsidRPr="00217C2A" w:rsidRDefault="00956694" w:rsidP="006C4000">
      <w:pPr>
        <w:spacing w:beforeLines="120" w:before="288" w:afterLines="120" w:after="288" w:line="360" w:lineRule="auto"/>
        <w:jc w:val="both"/>
        <w:rPr>
          <w:rFonts w:ascii="Calibri" w:hAnsi="Calibri" w:cs="Calibri"/>
          <w:sz w:val="20"/>
          <w:szCs w:val="20"/>
          <w:lang w:val="en-GB"/>
        </w:rPr>
      </w:pPr>
      <w:r w:rsidRPr="00217C2A">
        <w:rPr>
          <w:rFonts w:ascii="Calibri" w:hAnsi="Calibri" w:cs="Calibri"/>
          <w:b/>
          <w:bCs/>
          <w:sz w:val="20"/>
          <w:szCs w:val="20"/>
          <w:lang w:val="en-GB"/>
        </w:rPr>
        <w:t>Figure S</w:t>
      </w:r>
      <w:r w:rsidR="00D97D7F" w:rsidRPr="00217C2A">
        <w:rPr>
          <w:rFonts w:ascii="Calibri" w:hAnsi="Calibri" w:cs="Calibri"/>
          <w:b/>
          <w:bCs/>
          <w:sz w:val="20"/>
          <w:szCs w:val="20"/>
          <w:lang w:val="en-GB"/>
        </w:rPr>
        <w:t>4</w:t>
      </w:r>
      <w:r w:rsidRPr="00217C2A">
        <w:rPr>
          <w:rFonts w:ascii="Calibri" w:hAnsi="Calibri" w:cs="Calibri"/>
          <w:b/>
          <w:bCs/>
          <w:sz w:val="20"/>
          <w:szCs w:val="20"/>
          <w:lang w:val="en-GB"/>
        </w:rPr>
        <w:t xml:space="preserve">. </w:t>
      </w:r>
      <w:r w:rsidRPr="00217C2A">
        <w:rPr>
          <w:rFonts w:ascii="Calibri" w:hAnsi="Calibri" w:cs="Calibri"/>
          <w:sz w:val="20"/>
          <w:szCs w:val="20"/>
          <w:lang w:val="en-GB"/>
        </w:rPr>
        <w:t>Phosphate release upon treatment with AP at 37°C for (A) M23-PP NPs, protein to polymer 1:7 and polymer only at pH 3 and (B) GH15-PP, protein to polymer 1:5. Free PP in each figure (red triangles) to the concentration of PP and the pH of the corresponding formulation.</w:t>
      </w:r>
    </w:p>
    <w:p w14:paraId="137614ED" w14:textId="7CA926F6" w:rsidR="00956694" w:rsidRPr="00217C2A" w:rsidRDefault="00956694" w:rsidP="006C4000">
      <w:pPr>
        <w:autoSpaceDE w:val="0"/>
        <w:autoSpaceDN w:val="0"/>
        <w:spacing w:beforeLines="120" w:before="288" w:afterLines="120" w:after="288" w:line="360" w:lineRule="auto"/>
        <w:jc w:val="both"/>
        <w:rPr>
          <w:rFonts w:ascii="Calibri" w:eastAsia="Times New Roman" w:hAnsi="Calibri" w:cs="Calibri"/>
          <w:sz w:val="20"/>
          <w:szCs w:val="20"/>
        </w:rPr>
      </w:pPr>
      <w:r w:rsidRPr="00217C2A">
        <w:rPr>
          <w:rFonts w:ascii="Calibri" w:eastAsia="Times New Roman" w:hAnsi="Calibri" w:cs="Calibri"/>
          <w:sz w:val="20"/>
          <w:szCs w:val="20"/>
        </w:rPr>
        <w:t xml:space="preserve">As depicted in </w:t>
      </w:r>
      <w:r w:rsidRPr="00217C2A">
        <w:rPr>
          <w:rFonts w:ascii="Calibri" w:eastAsia="Times New Roman" w:hAnsi="Calibri" w:cs="Calibri"/>
          <w:b/>
          <w:bCs/>
          <w:sz w:val="20"/>
          <w:szCs w:val="20"/>
        </w:rPr>
        <w:t>Figure S</w:t>
      </w:r>
      <w:r w:rsidR="00D97D7F" w:rsidRPr="00217C2A">
        <w:rPr>
          <w:rFonts w:ascii="Calibri" w:eastAsia="Times New Roman" w:hAnsi="Calibri" w:cs="Calibri"/>
          <w:b/>
          <w:bCs/>
          <w:sz w:val="20"/>
          <w:szCs w:val="20"/>
        </w:rPr>
        <w:t>4</w:t>
      </w:r>
      <w:r w:rsidRPr="00217C2A">
        <w:rPr>
          <w:rFonts w:ascii="Calibri" w:eastAsia="Times New Roman" w:hAnsi="Calibri" w:cs="Calibri"/>
          <w:b/>
          <w:bCs/>
          <w:sz w:val="20"/>
          <w:szCs w:val="20"/>
        </w:rPr>
        <w:t>B</w:t>
      </w:r>
      <w:r w:rsidRPr="00217C2A">
        <w:rPr>
          <w:rFonts w:ascii="Calibri" w:eastAsia="Times New Roman" w:hAnsi="Calibri" w:cs="Calibri"/>
          <w:sz w:val="20"/>
          <w:szCs w:val="20"/>
        </w:rPr>
        <w:t>, phosphate release triggered by AP was detected for GHPP 15-NPs from 1 h of incubation, and it increased over time. The same behavior was observed for phosphate release from PP treated with AP. For all the measurements, hepes buffer treatment showed no detectable phosphate release. This behavior was accompanied by with particles agglomeration after treatment (</w:t>
      </w:r>
      <w:r w:rsidRPr="00217C2A">
        <w:rPr>
          <w:rFonts w:ascii="Calibri" w:eastAsia="Times New Roman" w:hAnsi="Calibri" w:cs="Calibri"/>
          <w:b/>
          <w:bCs/>
          <w:sz w:val="20"/>
          <w:szCs w:val="20"/>
        </w:rPr>
        <w:t>Figure S</w:t>
      </w:r>
      <w:r w:rsidR="00D97D7F" w:rsidRPr="00217C2A">
        <w:rPr>
          <w:rFonts w:ascii="Calibri" w:eastAsia="Times New Roman" w:hAnsi="Calibri" w:cs="Calibri"/>
          <w:b/>
          <w:bCs/>
          <w:sz w:val="20"/>
          <w:szCs w:val="20"/>
        </w:rPr>
        <w:t>3</w:t>
      </w:r>
      <w:r w:rsidRPr="00217C2A">
        <w:rPr>
          <w:rFonts w:ascii="Calibri" w:eastAsia="Times New Roman" w:hAnsi="Calibri" w:cs="Calibri"/>
          <w:b/>
          <w:bCs/>
          <w:sz w:val="20"/>
          <w:szCs w:val="20"/>
        </w:rPr>
        <w:t>B</w:t>
      </w:r>
      <w:r w:rsidRPr="00217C2A">
        <w:rPr>
          <w:rFonts w:ascii="Calibri" w:eastAsia="Times New Roman" w:hAnsi="Calibri" w:cs="Calibri"/>
          <w:sz w:val="20"/>
          <w:szCs w:val="20"/>
        </w:rPr>
        <w:t>), confirming the proper positioning of polyphosphate groups AP cleavage, since either for the free polymer or for the NPs phosphate is release after 1 h incubation time.</w:t>
      </w:r>
      <w:r w:rsidR="00234A18" w:rsidRPr="00217C2A">
        <w:rPr>
          <w:rFonts w:ascii="Calibri" w:eastAsia="Times New Roman" w:hAnsi="Calibri" w:cs="Calibri"/>
          <w:sz w:val="20"/>
          <w:szCs w:val="20"/>
          <w:vertAlign w:val="superscript"/>
        </w:rPr>
        <w:t>15</w:t>
      </w:r>
      <w:r w:rsidRPr="00217C2A">
        <w:rPr>
          <w:rFonts w:ascii="Calibri" w:eastAsia="Times New Roman" w:hAnsi="Calibri" w:cs="Calibri"/>
          <w:sz w:val="20"/>
          <w:szCs w:val="20"/>
        </w:rPr>
        <w:t xml:space="preserve"> The difference between the phosphate concentration released by PP and PPGH15 can be attributed to a more packed structure in NPs compared to the free polymer, as previously </w:t>
      </w:r>
      <w:r w:rsidR="00DD0231" w:rsidRPr="00217C2A">
        <w:rPr>
          <w:rFonts w:ascii="Calibri" w:eastAsia="Times New Roman" w:hAnsi="Calibri" w:cs="Calibri"/>
          <w:sz w:val="20"/>
          <w:szCs w:val="20"/>
        </w:rPr>
        <w:t xml:space="preserve">found </w:t>
      </w:r>
      <w:r w:rsidRPr="00217C2A">
        <w:rPr>
          <w:rFonts w:ascii="Calibri" w:eastAsia="Times New Roman" w:hAnsi="Calibri" w:cs="Calibri"/>
          <w:sz w:val="20"/>
          <w:szCs w:val="20"/>
        </w:rPr>
        <w:t xml:space="preserve">for PP NPs. </w:t>
      </w:r>
      <w:r w:rsidRPr="00217C2A">
        <w:rPr>
          <w:rFonts w:ascii="Calibri" w:eastAsia="Times New Roman" w:hAnsi="Calibri" w:cs="Calibri"/>
          <w:sz w:val="20"/>
          <w:szCs w:val="20"/>
          <w:vertAlign w:val="superscript"/>
        </w:rPr>
        <w:t>1</w:t>
      </w:r>
      <w:r w:rsidR="00234A18" w:rsidRPr="00217C2A">
        <w:rPr>
          <w:rFonts w:ascii="Calibri" w:eastAsia="Times New Roman" w:hAnsi="Calibri" w:cs="Calibri"/>
          <w:sz w:val="20"/>
          <w:szCs w:val="20"/>
          <w:vertAlign w:val="superscript"/>
        </w:rPr>
        <w:t>6</w:t>
      </w:r>
    </w:p>
    <w:p w14:paraId="340D8BE9" w14:textId="77777777" w:rsidR="00956694" w:rsidRPr="00217C2A" w:rsidRDefault="00956694" w:rsidP="006C4000">
      <w:pPr>
        <w:autoSpaceDE w:val="0"/>
        <w:autoSpaceDN w:val="0"/>
        <w:spacing w:beforeLines="120" w:before="288" w:afterLines="120" w:after="288" w:line="360" w:lineRule="auto"/>
        <w:jc w:val="both"/>
        <w:rPr>
          <w:rFonts w:ascii="Calibri" w:eastAsia="Times New Roman" w:hAnsi="Calibri" w:cs="Calibri"/>
          <w:sz w:val="20"/>
          <w:szCs w:val="20"/>
        </w:rPr>
      </w:pPr>
      <w:r w:rsidRPr="00217C2A">
        <w:rPr>
          <w:rFonts w:ascii="Calibri" w:eastAsia="Times New Roman" w:hAnsi="Calibri" w:cs="Calibri"/>
          <w:sz w:val="20"/>
          <w:szCs w:val="20"/>
        </w:rPr>
        <w:t>Notably, the fast release of phosphate is in line with steady increase in antimicrobial efficacy from 1 to 4 h when biofilm is treated with GH15-PP NPs (</w:t>
      </w:r>
      <w:r w:rsidRPr="00217C2A">
        <w:rPr>
          <w:rFonts w:ascii="Calibri" w:eastAsia="Times New Roman" w:hAnsi="Calibri" w:cs="Calibri"/>
          <w:b/>
          <w:bCs/>
          <w:sz w:val="20"/>
          <w:szCs w:val="20"/>
        </w:rPr>
        <w:t>Figure 5</w:t>
      </w:r>
      <w:r w:rsidRPr="00217C2A">
        <w:rPr>
          <w:rFonts w:ascii="Calibri" w:eastAsia="Times New Roman" w:hAnsi="Calibri" w:cs="Calibri"/>
          <w:sz w:val="20"/>
          <w:szCs w:val="20"/>
        </w:rPr>
        <w:t xml:space="preserve">, main manuscript). </w:t>
      </w:r>
    </w:p>
    <w:p w14:paraId="06BD2BE3" w14:textId="43E04EEC" w:rsidR="00956694" w:rsidRPr="00217C2A" w:rsidRDefault="00956694" w:rsidP="006C4000">
      <w:pPr>
        <w:autoSpaceDE w:val="0"/>
        <w:autoSpaceDN w:val="0"/>
        <w:spacing w:beforeLines="120" w:before="288" w:afterLines="120" w:after="288" w:line="360" w:lineRule="auto"/>
        <w:jc w:val="both"/>
        <w:rPr>
          <w:rFonts w:ascii="Calibri" w:eastAsia="Times New Roman" w:hAnsi="Calibri" w:cs="Calibri"/>
          <w:sz w:val="20"/>
          <w:szCs w:val="20"/>
        </w:rPr>
      </w:pPr>
      <w:r w:rsidRPr="00217C2A">
        <w:rPr>
          <w:rFonts w:ascii="Calibri" w:eastAsia="Times New Roman" w:hAnsi="Calibri" w:cs="Calibri"/>
          <w:sz w:val="20"/>
          <w:szCs w:val="20"/>
        </w:rPr>
        <w:t>For M23-PP NP, phosphate release was below the detection limit for 1, 2 and 4 h of incubation. However, after 24 h of incubation with AP, 434 nM phosphate was released. Moreover, a delay in release for M23-PP NPs compared to the PP under the same conditions was observed. Less accessibility of phosphate to AP maybe because of an intercalated structure of the NPs may account for this result. Notably, the shift in particle charge and size (</w:t>
      </w:r>
      <w:r w:rsidRPr="00217C2A">
        <w:rPr>
          <w:rFonts w:ascii="Calibri" w:eastAsia="Times New Roman" w:hAnsi="Calibri" w:cs="Calibri"/>
          <w:b/>
          <w:bCs/>
          <w:sz w:val="20"/>
          <w:szCs w:val="20"/>
        </w:rPr>
        <w:t xml:space="preserve">Figure </w:t>
      </w:r>
      <w:r w:rsidRPr="00217C2A">
        <w:rPr>
          <w:rFonts w:ascii="Calibri" w:eastAsia="Times New Roman" w:hAnsi="Calibri" w:cs="Calibri"/>
          <w:b/>
          <w:bCs/>
          <w:sz w:val="20"/>
          <w:szCs w:val="20"/>
        </w:rPr>
        <w:lastRenderedPageBreak/>
        <w:t>S</w:t>
      </w:r>
      <w:r w:rsidR="00D97D7F" w:rsidRPr="00217C2A">
        <w:rPr>
          <w:rFonts w:ascii="Calibri" w:eastAsia="Times New Roman" w:hAnsi="Calibri" w:cs="Calibri"/>
          <w:b/>
          <w:bCs/>
          <w:sz w:val="20"/>
          <w:szCs w:val="20"/>
        </w:rPr>
        <w:t>3</w:t>
      </w:r>
      <w:r w:rsidRPr="00217C2A">
        <w:rPr>
          <w:rFonts w:ascii="Calibri" w:eastAsia="Times New Roman" w:hAnsi="Calibri" w:cs="Calibri"/>
          <w:b/>
          <w:bCs/>
          <w:sz w:val="20"/>
          <w:szCs w:val="20"/>
        </w:rPr>
        <w:t>A</w:t>
      </w:r>
      <w:r w:rsidRPr="00217C2A">
        <w:rPr>
          <w:rFonts w:ascii="Calibri" w:eastAsia="Times New Roman" w:hAnsi="Calibri" w:cs="Calibri"/>
          <w:sz w:val="20"/>
          <w:szCs w:val="20"/>
        </w:rPr>
        <w:t>), together with the increased antimicrobial efficacy reached by M23-PP NPs (</w:t>
      </w:r>
      <w:r w:rsidRPr="00217C2A">
        <w:rPr>
          <w:rFonts w:ascii="Calibri" w:eastAsia="Times New Roman" w:hAnsi="Calibri" w:cs="Calibri"/>
          <w:b/>
          <w:bCs/>
          <w:sz w:val="20"/>
          <w:szCs w:val="20"/>
        </w:rPr>
        <w:t>Figure 4</w:t>
      </w:r>
      <w:r w:rsidRPr="00217C2A">
        <w:rPr>
          <w:rFonts w:ascii="Calibri" w:eastAsia="Times New Roman" w:hAnsi="Calibri" w:cs="Calibri"/>
          <w:sz w:val="20"/>
          <w:szCs w:val="20"/>
        </w:rPr>
        <w:t xml:space="preserve">, main manuscript) showed that the NPs with this arrangement were the most effective for AP triggered staphylococcal biofilm eradication. The slower release observed in general in </w:t>
      </w:r>
      <w:r w:rsidRPr="00217C2A">
        <w:rPr>
          <w:rFonts w:ascii="Calibri" w:eastAsia="Times New Roman" w:hAnsi="Calibri" w:cs="Calibri"/>
          <w:b/>
          <w:bCs/>
          <w:sz w:val="20"/>
          <w:szCs w:val="20"/>
        </w:rPr>
        <w:t>Figure S</w:t>
      </w:r>
      <w:r w:rsidR="00D97D7F" w:rsidRPr="00217C2A">
        <w:rPr>
          <w:rFonts w:ascii="Calibri" w:eastAsia="Times New Roman" w:hAnsi="Calibri" w:cs="Calibri"/>
          <w:b/>
          <w:bCs/>
          <w:sz w:val="20"/>
          <w:szCs w:val="20"/>
        </w:rPr>
        <w:t>3</w:t>
      </w:r>
      <w:r w:rsidRPr="00217C2A">
        <w:rPr>
          <w:rFonts w:ascii="Calibri" w:eastAsia="Times New Roman" w:hAnsi="Calibri" w:cs="Calibri"/>
          <w:b/>
          <w:bCs/>
          <w:sz w:val="20"/>
          <w:szCs w:val="20"/>
        </w:rPr>
        <w:t>A</w:t>
      </w:r>
      <w:r w:rsidRPr="00217C2A">
        <w:rPr>
          <w:rFonts w:ascii="Calibri" w:eastAsia="Times New Roman" w:hAnsi="Calibri" w:cs="Calibri"/>
          <w:sz w:val="20"/>
          <w:szCs w:val="20"/>
        </w:rPr>
        <w:t xml:space="preserve">, compared to </w:t>
      </w:r>
      <w:r w:rsidRPr="00217C2A">
        <w:rPr>
          <w:rFonts w:ascii="Calibri" w:eastAsia="Times New Roman" w:hAnsi="Calibri" w:cs="Calibri"/>
          <w:b/>
          <w:bCs/>
          <w:sz w:val="20"/>
          <w:szCs w:val="20"/>
        </w:rPr>
        <w:t>Figure S</w:t>
      </w:r>
      <w:r w:rsidR="00D97D7F" w:rsidRPr="00217C2A">
        <w:rPr>
          <w:rFonts w:ascii="Calibri" w:eastAsia="Times New Roman" w:hAnsi="Calibri" w:cs="Calibri"/>
          <w:b/>
          <w:bCs/>
          <w:sz w:val="20"/>
          <w:szCs w:val="20"/>
        </w:rPr>
        <w:t>3</w:t>
      </w:r>
      <w:r w:rsidRPr="00217C2A">
        <w:rPr>
          <w:rFonts w:ascii="Calibri" w:eastAsia="Times New Roman" w:hAnsi="Calibri" w:cs="Calibri"/>
          <w:b/>
          <w:bCs/>
          <w:sz w:val="20"/>
          <w:szCs w:val="20"/>
        </w:rPr>
        <w:t>B</w:t>
      </w:r>
      <w:r w:rsidRPr="00217C2A">
        <w:rPr>
          <w:rFonts w:ascii="Calibri" w:eastAsia="Times New Roman" w:hAnsi="Calibri" w:cs="Calibri"/>
          <w:sz w:val="20"/>
          <w:szCs w:val="20"/>
        </w:rPr>
        <w:t xml:space="preserve"> is consistent with the low pH of M23-PP and the corresponding PP control (pH 3) which is far from the optimum pH for AP activity. </w:t>
      </w:r>
    </w:p>
    <w:bookmarkEnd w:id="11"/>
    <w:bookmarkEnd w:id="12"/>
    <w:p w14:paraId="3E88BEA0" w14:textId="77777777" w:rsidR="00BA7BBD" w:rsidRPr="00217C2A" w:rsidRDefault="00BA7BBD" w:rsidP="006C4000">
      <w:pPr>
        <w:spacing w:beforeLines="120" w:before="288" w:afterLines="120" w:after="288" w:line="360" w:lineRule="auto"/>
        <w:ind w:left="360"/>
        <w:rPr>
          <w:rFonts w:cstheme="minorHAnsi"/>
          <w:b/>
          <w:bCs/>
          <w:sz w:val="18"/>
          <w:szCs w:val="18"/>
          <w:lang w:val="en-GB"/>
        </w:rPr>
      </w:pPr>
      <w:r w:rsidRPr="00217C2A">
        <w:rPr>
          <w:rFonts w:cstheme="minorHAnsi"/>
          <w:b/>
          <w:bCs/>
          <w:sz w:val="18"/>
          <w:szCs w:val="18"/>
          <w:lang w:val="en-GB"/>
        </w:rPr>
        <w:br w:type="page"/>
      </w:r>
    </w:p>
    <w:tbl>
      <w:tblPr>
        <w:tblStyle w:val="TableGrid"/>
        <w:tblpPr w:leftFromText="180" w:rightFromText="180" w:vertAnchor="text" w:horzAnchor="margin" w:tblpXSpec="center" w:tblpY="567"/>
        <w:tblW w:w="864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372"/>
        <w:gridCol w:w="2307"/>
      </w:tblGrid>
      <w:tr w:rsidR="00217C2A" w:rsidRPr="00217C2A" w14:paraId="4D2B06CD" w14:textId="77777777" w:rsidTr="00053DD1">
        <w:trPr>
          <w:trHeight w:val="516"/>
        </w:trPr>
        <w:tc>
          <w:tcPr>
            <w:tcW w:w="3969" w:type="dxa"/>
            <w:tcBorders>
              <w:top w:val="single" w:sz="4" w:space="0" w:color="auto"/>
              <w:bottom w:val="single" w:sz="4" w:space="0" w:color="auto"/>
            </w:tcBorders>
          </w:tcPr>
          <w:p w14:paraId="7822081C" w14:textId="77777777" w:rsidR="00053DD1" w:rsidRPr="00217C2A" w:rsidRDefault="00053DD1" w:rsidP="00053DD1">
            <w:pPr>
              <w:autoSpaceDE w:val="0"/>
              <w:autoSpaceDN w:val="0"/>
              <w:adjustRightInd w:val="0"/>
              <w:rPr>
                <w:rFonts w:cstheme="minorHAnsi"/>
                <w:b/>
                <w:bCs/>
                <w:sz w:val="18"/>
                <w:szCs w:val="18"/>
              </w:rPr>
            </w:pPr>
            <w:bookmarkStart w:id="13" w:name="_Hlk171944481"/>
            <w:r w:rsidRPr="00217C2A">
              <w:rPr>
                <w:rFonts w:cstheme="minorHAnsi"/>
                <w:b/>
                <w:bCs/>
                <w:sz w:val="18"/>
                <w:szCs w:val="18"/>
              </w:rPr>
              <w:lastRenderedPageBreak/>
              <w:t>Sample</w:t>
            </w:r>
          </w:p>
        </w:tc>
        <w:tc>
          <w:tcPr>
            <w:tcW w:w="2372" w:type="dxa"/>
            <w:tcBorders>
              <w:top w:val="single" w:sz="4" w:space="0" w:color="auto"/>
              <w:bottom w:val="single" w:sz="4" w:space="0" w:color="auto"/>
            </w:tcBorders>
          </w:tcPr>
          <w:p w14:paraId="4C9E11AF" w14:textId="77777777" w:rsidR="00053DD1" w:rsidRPr="00217C2A" w:rsidRDefault="00053DD1" w:rsidP="00053DD1">
            <w:pPr>
              <w:autoSpaceDE w:val="0"/>
              <w:autoSpaceDN w:val="0"/>
              <w:adjustRightInd w:val="0"/>
              <w:rPr>
                <w:rFonts w:cstheme="minorHAnsi"/>
                <w:b/>
                <w:bCs/>
                <w:sz w:val="18"/>
                <w:szCs w:val="18"/>
              </w:rPr>
            </w:pPr>
            <w:r w:rsidRPr="00217C2A">
              <w:rPr>
                <w:rFonts w:cstheme="minorHAnsi"/>
                <w:b/>
                <w:bCs/>
                <w:sz w:val="18"/>
                <w:szCs w:val="18"/>
              </w:rPr>
              <w:t>Reduction (%) compared to control</w:t>
            </w:r>
          </w:p>
        </w:tc>
        <w:tc>
          <w:tcPr>
            <w:tcW w:w="2307" w:type="dxa"/>
            <w:tcBorders>
              <w:top w:val="single" w:sz="4" w:space="0" w:color="auto"/>
              <w:bottom w:val="single" w:sz="4" w:space="0" w:color="auto"/>
            </w:tcBorders>
          </w:tcPr>
          <w:p w14:paraId="6719359F" w14:textId="3B9549BD" w:rsidR="00053DD1" w:rsidRPr="00217C2A" w:rsidRDefault="00053DD1" w:rsidP="00053DD1">
            <w:pPr>
              <w:autoSpaceDE w:val="0"/>
              <w:autoSpaceDN w:val="0"/>
              <w:adjustRightInd w:val="0"/>
              <w:rPr>
                <w:rFonts w:cstheme="minorHAnsi"/>
                <w:b/>
                <w:bCs/>
                <w:sz w:val="18"/>
                <w:szCs w:val="18"/>
              </w:rPr>
            </w:pPr>
            <w:r w:rsidRPr="00217C2A">
              <w:rPr>
                <w:rFonts w:cstheme="minorHAnsi"/>
                <w:b/>
                <w:bCs/>
                <w:sz w:val="18"/>
                <w:szCs w:val="18"/>
              </w:rPr>
              <w:t>Outcome</w:t>
            </w:r>
            <w:r w:rsidR="004B14EA" w:rsidRPr="00217C2A">
              <w:rPr>
                <w:rFonts w:cstheme="minorHAnsi"/>
                <w:sz w:val="18"/>
                <w:szCs w:val="18"/>
                <w:vertAlign w:val="superscript"/>
                <w:lang w:val="en-GB"/>
              </w:rPr>
              <w:t>1</w:t>
            </w:r>
            <w:r w:rsidR="00911AFC" w:rsidRPr="00217C2A">
              <w:rPr>
                <w:rFonts w:cstheme="minorHAnsi"/>
                <w:sz w:val="18"/>
                <w:szCs w:val="18"/>
                <w:vertAlign w:val="superscript"/>
                <w:lang w:val="en-GB"/>
              </w:rPr>
              <w:t>7</w:t>
            </w:r>
          </w:p>
        </w:tc>
      </w:tr>
      <w:tr w:rsidR="00217C2A" w:rsidRPr="00217C2A" w14:paraId="5390CC9C" w14:textId="77777777" w:rsidTr="00053DD1">
        <w:tc>
          <w:tcPr>
            <w:tcW w:w="3969" w:type="dxa"/>
            <w:tcBorders>
              <w:top w:val="single" w:sz="4" w:space="0" w:color="auto"/>
            </w:tcBorders>
          </w:tcPr>
          <w:p w14:paraId="06B0D1D9" w14:textId="1E2D5850"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M23-PP pH 1.92</w:t>
            </w:r>
            <w:r w:rsidR="002040C2" w:rsidRPr="00217C2A">
              <w:rPr>
                <w:rFonts w:cstheme="minorHAnsi"/>
                <w:sz w:val="18"/>
                <w:szCs w:val="18"/>
              </w:rPr>
              <w:t xml:space="preserve"> ,625 </w:t>
            </w:r>
            <w:r w:rsidR="00883538" w:rsidRPr="00217C2A">
              <w:rPr>
                <w:rFonts w:cstheme="minorHAnsi"/>
                <w:sz w:val="18"/>
                <w:szCs w:val="18"/>
              </w:rPr>
              <w:t>n</w:t>
            </w:r>
            <w:r w:rsidR="002040C2" w:rsidRPr="00217C2A">
              <w:rPr>
                <w:rFonts w:ascii="Calibri" w:hAnsi="Calibri" w:cs="Calibri"/>
                <w:sz w:val="18"/>
                <w:szCs w:val="18"/>
              </w:rPr>
              <w:t>M in M23</w:t>
            </w:r>
            <w:r w:rsidRPr="00217C2A">
              <w:rPr>
                <w:rFonts w:cstheme="minorHAnsi"/>
                <w:sz w:val="18"/>
                <w:szCs w:val="18"/>
              </w:rPr>
              <w:t>, protein to polymer ratio 1:7</w:t>
            </w:r>
          </w:p>
        </w:tc>
        <w:tc>
          <w:tcPr>
            <w:tcW w:w="2372" w:type="dxa"/>
            <w:tcBorders>
              <w:top w:val="single" w:sz="4" w:space="0" w:color="auto"/>
            </w:tcBorders>
          </w:tcPr>
          <w:p w14:paraId="486F3079" w14:textId="77777777"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100</w:t>
            </w:r>
          </w:p>
        </w:tc>
        <w:tc>
          <w:tcPr>
            <w:tcW w:w="2307" w:type="dxa"/>
            <w:tcBorders>
              <w:top w:val="single" w:sz="4" w:space="0" w:color="auto"/>
            </w:tcBorders>
          </w:tcPr>
          <w:p w14:paraId="6CA36619" w14:textId="75ABEEEE" w:rsidR="00053DD1" w:rsidRPr="00217C2A" w:rsidRDefault="00B628C1" w:rsidP="00053DD1">
            <w:pPr>
              <w:autoSpaceDE w:val="0"/>
              <w:autoSpaceDN w:val="0"/>
              <w:adjustRightInd w:val="0"/>
              <w:rPr>
                <w:rFonts w:cstheme="minorHAnsi"/>
                <w:sz w:val="18"/>
                <w:szCs w:val="18"/>
              </w:rPr>
            </w:pPr>
            <w:r w:rsidRPr="00217C2A">
              <w:rPr>
                <w:rFonts w:cstheme="minorHAnsi"/>
                <w:sz w:val="18"/>
                <w:szCs w:val="18"/>
              </w:rPr>
              <w:t>B</w:t>
            </w:r>
            <w:r w:rsidR="00053DD1" w:rsidRPr="00217C2A">
              <w:rPr>
                <w:rFonts w:cstheme="minorHAnsi"/>
                <w:sz w:val="18"/>
                <w:szCs w:val="18"/>
              </w:rPr>
              <w:t>actericidal</w:t>
            </w:r>
          </w:p>
        </w:tc>
      </w:tr>
      <w:tr w:rsidR="00217C2A" w:rsidRPr="00217C2A" w14:paraId="0CBB1420" w14:textId="77777777" w:rsidTr="00053DD1">
        <w:tc>
          <w:tcPr>
            <w:tcW w:w="3969" w:type="dxa"/>
          </w:tcPr>
          <w:p w14:paraId="75065C81" w14:textId="3762493B"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 xml:space="preserve">PP 4.375 </w:t>
            </w:r>
            <w:r w:rsidR="002040C2" w:rsidRPr="00217C2A">
              <w:rPr>
                <w:rFonts w:ascii="Calibri" w:hAnsi="Calibri" w:cs="Calibri"/>
                <w:sz w:val="18"/>
                <w:szCs w:val="18"/>
              </w:rPr>
              <w:t>µM</w:t>
            </w:r>
            <w:r w:rsidR="002040C2" w:rsidRPr="00217C2A">
              <w:rPr>
                <w:rFonts w:cstheme="minorHAnsi"/>
                <w:sz w:val="18"/>
                <w:szCs w:val="18"/>
              </w:rPr>
              <w:t xml:space="preserve"> </w:t>
            </w:r>
            <w:r w:rsidRPr="00217C2A">
              <w:rPr>
                <w:rFonts w:cstheme="minorHAnsi"/>
                <w:sz w:val="18"/>
                <w:szCs w:val="18"/>
              </w:rPr>
              <w:t xml:space="preserve">pH 1.92 </w:t>
            </w:r>
          </w:p>
        </w:tc>
        <w:tc>
          <w:tcPr>
            <w:tcW w:w="2372" w:type="dxa"/>
          </w:tcPr>
          <w:p w14:paraId="1017A6EB" w14:textId="77777777"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93.3</w:t>
            </w:r>
          </w:p>
        </w:tc>
        <w:tc>
          <w:tcPr>
            <w:tcW w:w="2307" w:type="dxa"/>
          </w:tcPr>
          <w:p w14:paraId="766B4821" w14:textId="77777777"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Bacteriostatic</w:t>
            </w:r>
          </w:p>
        </w:tc>
      </w:tr>
      <w:tr w:rsidR="00217C2A" w:rsidRPr="00217C2A" w14:paraId="30F8A2F6" w14:textId="77777777" w:rsidTr="00053DD1">
        <w:tc>
          <w:tcPr>
            <w:tcW w:w="3969" w:type="dxa"/>
            <w:tcBorders>
              <w:top w:val="nil"/>
              <w:bottom w:val="nil"/>
            </w:tcBorders>
          </w:tcPr>
          <w:p w14:paraId="7FFFC618" w14:textId="75ADEF8C"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GH15-PP pH 7.4</w:t>
            </w:r>
            <w:r w:rsidR="002040C2" w:rsidRPr="00217C2A">
              <w:rPr>
                <w:rFonts w:cstheme="minorHAnsi"/>
                <w:sz w:val="18"/>
                <w:szCs w:val="18"/>
              </w:rPr>
              <w:t>, 625</w:t>
            </w:r>
            <w:r w:rsidR="002040C2" w:rsidRPr="00217C2A">
              <w:rPr>
                <w:rFonts w:ascii="Calibri" w:hAnsi="Calibri" w:cs="Calibri"/>
                <w:sz w:val="18"/>
                <w:szCs w:val="18"/>
              </w:rPr>
              <w:t xml:space="preserve"> </w:t>
            </w:r>
            <w:r w:rsidR="00883538" w:rsidRPr="00217C2A">
              <w:rPr>
                <w:rFonts w:ascii="Calibri" w:hAnsi="Calibri" w:cs="Calibri"/>
                <w:sz w:val="18"/>
                <w:szCs w:val="18"/>
              </w:rPr>
              <w:t>n</w:t>
            </w:r>
            <w:r w:rsidR="002040C2" w:rsidRPr="00217C2A">
              <w:rPr>
                <w:rFonts w:ascii="Calibri" w:hAnsi="Calibri" w:cs="Calibri"/>
                <w:sz w:val="18"/>
                <w:szCs w:val="18"/>
              </w:rPr>
              <w:t>M in M23, protein to polymer</w:t>
            </w:r>
            <w:r w:rsidRPr="00217C2A">
              <w:rPr>
                <w:rFonts w:cstheme="minorHAnsi"/>
                <w:sz w:val="18"/>
                <w:szCs w:val="18"/>
              </w:rPr>
              <w:t xml:space="preserve"> ratio 1:5</w:t>
            </w:r>
          </w:p>
        </w:tc>
        <w:tc>
          <w:tcPr>
            <w:tcW w:w="2372" w:type="dxa"/>
            <w:tcBorders>
              <w:top w:val="nil"/>
              <w:bottom w:val="nil"/>
            </w:tcBorders>
          </w:tcPr>
          <w:p w14:paraId="125F88F2" w14:textId="77777777"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100</w:t>
            </w:r>
          </w:p>
        </w:tc>
        <w:tc>
          <w:tcPr>
            <w:tcW w:w="2307" w:type="dxa"/>
            <w:tcBorders>
              <w:top w:val="nil"/>
              <w:bottom w:val="nil"/>
            </w:tcBorders>
          </w:tcPr>
          <w:p w14:paraId="76157A10" w14:textId="77777777"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Bactericidal</w:t>
            </w:r>
          </w:p>
        </w:tc>
      </w:tr>
      <w:tr w:rsidR="00217C2A" w:rsidRPr="00217C2A" w14:paraId="4FF85FAE" w14:textId="77777777" w:rsidTr="00053DD1">
        <w:tc>
          <w:tcPr>
            <w:tcW w:w="3969" w:type="dxa"/>
            <w:tcBorders>
              <w:top w:val="nil"/>
              <w:bottom w:val="single" w:sz="4" w:space="0" w:color="auto"/>
            </w:tcBorders>
          </w:tcPr>
          <w:p w14:paraId="4D90879D" w14:textId="2B2705EF" w:rsidR="00053DD1" w:rsidRPr="00217C2A" w:rsidRDefault="00053DD1" w:rsidP="00053DD1">
            <w:pPr>
              <w:autoSpaceDE w:val="0"/>
              <w:autoSpaceDN w:val="0"/>
              <w:adjustRightInd w:val="0"/>
              <w:rPr>
                <w:rFonts w:cstheme="minorHAnsi"/>
                <w:sz w:val="18"/>
                <w:szCs w:val="18"/>
              </w:rPr>
            </w:pPr>
            <w:bookmarkStart w:id="14" w:name="_Hlk171944417"/>
            <w:r w:rsidRPr="00217C2A">
              <w:rPr>
                <w:rFonts w:cstheme="minorHAnsi"/>
                <w:sz w:val="18"/>
                <w:szCs w:val="18"/>
              </w:rPr>
              <w:t>PP 3.125 pH 7.4</w:t>
            </w:r>
            <w:r w:rsidR="002040C2" w:rsidRPr="00217C2A">
              <w:rPr>
                <w:rFonts w:ascii="Calibri" w:hAnsi="Calibri" w:cs="Calibri"/>
                <w:sz w:val="18"/>
                <w:szCs w:val="18"/>
              </w:rPr>
              <w:t xml:space="preserve"> µM</w:t>
            </w:r>
          </w:p>
        </w:tc>
        <w:tc>
          <w:tcPr>
            <w:tcW w:w="2372" w:type="dxa"/>
            <w:tcBorders>
              <w:top w:val="nil"/>
              <w:bottom w:val="single" w:sz="4" w:space="0" w:color="auto"/>
            </w:tcBorders>
          </w:tcPr>
          <w:p w14:paraId="3CAF807B" w14:textId="77777777" w:rsidR="00053DD1" w:rsidRPr="00217C2A" w:rsidRDefault="00053DD1" w:rsidP="00053DD1">
            <w:pPr>
              <w:autoSpaceDE w:val="0"/>
              <w:autoSpaceDN w:val="0"/>
              <w:adjustRightInd w:val="0"/>
              <w:rPr>
                <w:rFonts w:cstheme="minorHAnsi"/>
                <w:sz w:val="18"/>
                <w:szCs w:val="18"/>
              </w:rPr>
            </w:pPr>
            <w:r w:rsidRPr="00217C2A">
              <w:rPr>
                <w:rFonts w:cstheme="minorHAnsi"/>
                <w:sz w:val="18"/>
                <w:szCs w:val="18"/>
              </w:rPr>
              <w:t>89.4</w:t>
            </w:r>
          </w:p>
        </w:tc>
        <w:tc>
          <w:tcPr>
            <w:tcW w:w="2307" w:type="dxa"/>
            <w:tcBorders>
              <w:top w:val="nil"/>
              <w:bottom w:val="single" w:sz="4" w:space="0" w:color="auto"/>
            </w:tcBorders>
          </w:tcPr>
          <w:p w14:paraId="33E0BE7C" w14:textId="18373D5B" w:rsidR="00053DD1" w:rsidRPr="00217C2A" w:rsidRDefault="00B628C1" w:rsidP="00053DD1">
            <w:pPr>
              <w:autoSpaceDE w:val="0"/>
              <w:autoSpaceDN w:val="0"/>
              <w:adjustRightInd w:val="0"/>
              <w:rPr>
                <w:rFonts w:cstheme="minorHAnsi"/>
                <w:sz w:val="18"/>
                <w:szCs w:val="18"/>
              </w:rPr>
            </w:pPr>
            <w:r w:rsidRPr="00217C2A">
              <w:rPr>
                <w:rFonts w:cstheme="minorHAnsi"/>
                <w:sz w:val="18"/>
                <w:szCs w:val="18"/>
              </w:rPr>
              <w:t>B</w:t>
            </w:r>
            <w:r w:rsidR="00053DD1" w:rsidRPr="00217C2A">
              <w:rPr>
                <w:rFonts w:cstheme="minorHAnsi"/>
                <w:sz w:val="18"/>
                <w:szCs w:val="18"/>
              </w:rPr>
              <w:t>acteriostatic</w:t>
            </w:r>
          </w:p>
        </w:tc>
      </w:tr>
    </w:tbl>
    <w:bookmarkEnd w:id="13"/>
    <w:p w14:paraId="4D49EFA1" w14:textId="77777777" w:rsidR="00053DD1" w:rsidRPr="00217C2A" w:rsidRDefault="00F45FE2" w:rsidP="00C66C9F">
      <w:pPr>
        <w:spacing w:beforeLines="120" w:before="288" w:afterLines="120" w:after="288" w:line="360" w:lineRule="auto"/>
        <w:ind w:left="360"/>
        <w:jc w:val="both"/>
        <w:rPr>
          <w:rFonts w:cstheme="minorHAnsi"/>
          <w:sz w:val="18"/>
          <w:szCs w:val="18"/>
          <w:lang w:val="en-GB"/>
        </w:rPr>
      </w:pPr>
      <w:r w:rsidRPr="00217C2A">
        <w:rPr>
          <w:rFonts w:cstheme="minorHAnsi"/>
          <w:b/>
          <w:bCs/>
          <w:sz w:val="18"/>
          <w:szCs w:val="18"/>
          <w:lang w:val="en-GB"/>
        </w:rPr>
        <w:t xml:space="preserve">Table S2. </w:t>
      </w:r>
      <w:r w:rsidR="0095072B" w:rsidRPr="00217C2A">
        <w:rPr>
          <w:rFonts w:cstheme="minorHAnsi"/>
          <w:sz w:val="18"/>
          <w:szCs w:val="18"/>
          <w:lang w:val="en-GB"/>
        </w:rPr>
        <w:t>A</w:t>
      </w:r>
      <w:r w:rsidRPr="00217C2A">
        <w:rPr>
          <w:rFonts w:cstheme="minorHAnsi"/>
          <w:sz w:val="18"/>
          <w:szCs w:val="18"/>
          <w:lang w:val="en-GB"/>
        </w:rPr>
        <w:t>ntimicrobial effect found for</w:t>
      </w:r>
      <w:r w:rsidRPr="00217C2A">
        <w:rPr>
          <w:rFonts w:cstheme="minorHAnsi"/>
          <w:b/>
          <w:bCs/>
          <w:sz w:val="18"/>
          <w:szCs w:val="18"/>
          <w:lang w:val="en-GB"/>
        </w:rPr>
        <w:t xml:space="preserve"> </w:t>
      </w:r>
      <w:r w:rsidRPr="00217C2A">
        <w:rPr>
          <w:rFonts w:cstheme="minorHAnsi"/>
          <w:sz w:val="18"/>
          <w:szCs w:val="18"/>
          <w:lang w:val="en-GB"/>
        </w:rPr>
        <w:t xml:space="preserve">PGH-PP NPs, </w:t>
      </w:r>
      <w:r w:rsidR="0095072B" w:rsidRPr="00217C2A">
        <w:rPr>
          <w:rFonts w:cstheme="minorHAnsi"/>
          <w:sz w:val="18"/>
          <w:szCs w:val="18"/>
          <w:lang w:val="en-GB"/>
        </w:rPr>
        <w:t xml:space="preserve">and the free </w:t>
      </w:r>
      <w:r w:rsidRPr="00217C2A">
        <w:rPr>
          <w:rFonts w:cstheme="minorHAnsi"/>
          <w:sz w:val="18"/>
          <w:szCs w:val="18"/>
          <w:lang w:val="en-GB"/>
        </w:rPr>
        <w:t xml:space="preserve">PP as used in each corresponding formulation. </w:t>
      </w:r>
    </w:p>
    <w:p w14:paraId="4AB9DB0C" w14:textId="77777777" w:rsidR="00053DD1" w:rsidRPr="00217C2A" w:rsidRDefault="00053DD1" w:rsidP="00C66C9F">
      <w:pPr>
        <w:spacing w:beforeLines="120" w:before="288" w:afterLines="120" w:after="288" w:line="360" w:lineRule="auto"/>
        <w:ind w:left="360"/>
        <w:jc w:val="both"/>
        <w:rPr>
          <w:rFonts w:cstheme="minorHAnsi"/>
          <w:sz w:val="18"/>
          <w:szCs w:val="18"/>
          <w:highlight w:val="lightGray"/>
        </w:rPr>
      </w:pPr>
    </w:p>
    <w:p w14:paraId="7132DC81" w14:textId="64B6613C" w:rsidR="00F45FE2" w:rsidRPr="00217C2A" w:rsidRDefault="00EA1C6E" w:rsidP="00C66C9F">
      <w:pPr>
        <w:spacing w:beforeLines="120" w:before="288" w:afterLines="120" w:after="288" w:line="360" w:lineRule="auto"/>
        <w:ind w:left="360"/>
        <w:jc w:val="both"/>
        <w:rPr>
          <w:rFonts w:cstheme="minorHAnsi"/>
          <w:b/>
          <w:bCs/>
          <w:sz w:val="18"/>
          <w:szCs w:val="18"/>
          <w:lang w:val="en-GB"/>
        </w:rPr>
      </w:pPr>
      <w:r w:rsidRPr="00217C2A">
        <w:rPr>
          <w:rFonts w:cstheme="minorHAnsi"/>
          <w:sz w:val="18"/>
          <w:szCs w:val="18"/>
        </w:rPr>
        <w:t>10</w:t>
      </w:r>
      <w:r w:rsidRPr="00217C2A">
        <w:rPr>
          <w:rFonts w:cstheme="minorHAnsi"/>
          <w:sz w:val="18"/>
          <w:szCs w:val="18"/>
          <w:vertAlign w:val="superscript"/>
        </w:rPr>
        <w:t>5</w:t>
      </w:r>
      <w:r w:rsidRPr="00217C2A">
        <w:rPr>
          <w:rFonts w:cstheme="minorHAnsi"/>
          <w:sz w:val="18"/>
          <w:szCs w:val="18"/>
        </w:rPr>
        <w:t xml:space="preserve"> CFU/ml</w:t>
      </w:r>
      <w:r w:rsidRPr="00217C2A">
        <w:rPr>
          <w:rFonts w:cstheme="minorHAnsi"/>
          <w:sz w:val="18"/>
          <w:szCs w:val="18"/>
          <w:lang w:val="en-GB"/>
        </w:rPr>
        <w:t xml:space="preserve"> were incubated with PGH-PP NPs, and the free PP overnight</w:t>
      </w:r>
      <w:r w:rsidR="00053DD1" w:rsidRPr="00217C2A">
        <w:rPr>
          <w:rFonts w:cstheme="minorHAnsi"/>
          <w:sz w:val="18"/>
          <w:szCs w:val="18"/>
          <w:lang w:val="en-GB"/>
        </w:rPr>
        <w:t xml:space="preserve"> as described in the materials and methods section</w:t>
      </w:r>
      <w:r w:rsidRPr="00217C2A">
        <w:rPr>
          <w:rFonts w:cstheme="minorHAnsi"/>
          <w:sz w:val="18"/>
          <w:szCs w:val="18"/>
          <w:lang w:val="en-GB"/>
        </w:rPr>
        <w:t xml:space="preserve">. All the samples showed inhibitory effect with no turbidity detected by OD at 620 nm. However, after counting the cells </w:t>
      </w:r>
      <w:r w:rsidR="000E50F1" w:rsidRPr="00217C2A">
        <w:rPr>
          <w:rFonts w:cstheme="minorHAnsi"/>
          <w:sz w:val="18"/>
          <w:szCs w:val="18"/>
          <w:lang w:val="en-GB"/>
        </w:rPr>
        <w:t>treated</w:t>
      </w:r>
      <w:r w:rsidR="00053DD1" w:rsidRPr="00217C2A">
        <w:rPr>
          <w:rFonts w:cstheme="minorHAnsi"/>
          <w:sz w:val="18"/>
          <w:szCs w:val="18"/>
          <w:lang w:val="en-GB"/>
        </w:rPr>
        <w:t xml:space="preserve"> </w:t>
      </w:r>
      <w:r w:rsidRPr="00217C2A">
        <w:rPr>
          <w:rFonts w:cstheme="minorHAnsi"/>
          <w:sz w:val="18"/>
          <w:szCs w:val="18"/>
          <w:lang w:val="en-GB"/>
        </w:rPr>
        <w:t xml:space="preserve">by each sample, </w:t>
      </w:r>
      <w:r w:rsidR="000E50F1" w:rsidRPr="00217C2A">
        <w:rPr>
          <w:rFonts w:cstheme="minorHAnsi"/>
          <w:sz w:val="18"/>
          <w:szCs w:val="18"/>
          <w:lang w:val="en-GB"/>
        </w:rPr>
        <w:t xml:space="preserve">inhibition was consistent with a </w:t>
      </w:r>
      <w:r w:rsidRPr="00217C2A">
        <w:rPr>
          <w:rFonts w:cstheme="minorHAnsi"/>
          <w:sz w:val="18"/>
          <w:szCs w:val="18"/>
          <w:lang w:val="en-GB"/>
        </w:rPr>
        <w:t>bacteriostatic effect</w:t>
      </w:r>
      <w:r w:rsidR="00053DD1" w:rsidRPr="00217C2A">
        <w:rPr>
          <w:rFonts w:cstheme="minorHAnsi"/>
          <w:sz w:val="18"/>
          <w:szCs w:val="18"/>
          <w:vertAlign w:val="superscript"/>
          <w:lang w:val="en-GB"/>
        </w:rPr>
        <w:t>1</w:t>
      </w:r>
      <w:r w:rsidR="00911AFC" w:rsidRPr="00217C2A">
        <w:rPr>
          <w:rFonts w:cstheme="minorHAnsi"/>
          <w:sz w:val="18"/>
          <w:szCs w:val="18"/>
          <w:vertAlign w:val="superscript"/>
          <w:lang w:val="en-GB"/>
        </w:rPr>
        <w:t>7</w:t>
      </w:r>
      <w:r w:rsidRPr="00217C2A">
        <w:rPr>
          <w:rFonts w:cstheme="minorHAnsi"/>
          <w:sz w:val="18"/>
          <w:szCs w:val="18"/>
          <w:lang w:val="en-GB"/>
        </w:rPr>
        <w:t xml:space="preserve"> </w:t>
      </w:r>
      <w:r w:rsidR="000E50F1" w:rsidRPr="00217C2A">
        <w:rPr>
          <w:rFonts w:cstheme="minorHAnsi"/>
          <w:sz w:val="18"/>
          <w:szCs w:val="18"/>
          <w:lang w:val="en-GB"/>
        </w:rPr>
        <w:t xml:space="preserve">obtained for </w:t>
      </w:r>
      <w:r w:rsidRPr="00217C2A">
        <w:rPr>
          <w:rFonts w:cstheme="minorHAnsi"/>
          <w:sz w:val="18"/>
          <w:szCs w:val="18"/>
          <w:lang w:val="en-GB"/>
        </w:rPr>
        <w:t>free PP</w:t>
      </w:r>
      <w:r w:rsidR="000E50F1" w:rsidRPr="00217C2A">
        <w:rPr>
          <w:rFonts w:cstheme="minorHAnsi"/>
          <w:sz w:val="18"/>
          <w:szCs w:val="18"/>
          <w:lang w:val="en-GB"/>
        </w:rPr>
        <w:t>, in contrast to the bactericidal effect of NPs</w:t>
      </w:r>
      <w:r w:rsidRPr="00217C2A">
        <w:rPr>
          <w:rFonts w:cstheme="minorHAnsi"/>
          <w:sz w:val="18"/>
          <w:szCs w:val="18"/>
          <w:lang w:val="en-GB"/>
        </w:rPr>
        <w:t>.</w:t>
      </w:r>
    </w:p>
    <w:bookmarkEnd w:id="14"/>
    <w:p w14:paraId="57F65EEE" w14:textId="77777777" w:rsidR="00F45FE2" w:rsidRPr="00217C2A" w:rsidRDefault="00F45FE2">
      <w:pPr>
        <w:rPr>
          <w:rFonts w:cstheme="minorHAnsi"/>
          <w:b/>
          <w:bCs/>
          <w:sz w:val="18"/>
          <w:szCs w:val="18"/>
          <w:lang w:val="en-GB"/>
        </w:rPr>
      </w:pPr>
      <w:r w:rsidRPr="00217C2A">
        <w:rPr>
          <w:rFonts w:cstheme="minorHAnsi"/>
          <w:b/>
          <w:bCs/>
          <w:sz w:val="18"/>
          <w:szCs w:val="18"/>
          <w:lang w:val="en-GB"/>
        </w:rPr>
        <w:br w:type="page"/>
      </w:r>
    </w:p>
    <w:p w14:paraId="2ED18AB6" w14:textId="4D56A321" w:rsidR="00580760" w:rsidRPr="00217C2A" w:rsidRDefault="00580760" w:rsidP="00C66C9F">
      <w:pPr>
        <w:spacing w:beforeLines="120" w:before="288" w:afterLines="120" w:after="288" w:line="360" w:lineRule="auto"/>
        <w:ind w:left="360"/>
        <w:jc w:val="both"/>
        <w:rPr>
          <w:rFonts w:cstheme="minorHAnsi"/>
          <w:sz w:val="18"/>
          <w:szCs w:val="18"/>
          <w:lang w:val="en-GB"/>
        </w:rPr>
      </w:pPr>
      <w:r w:rsidRPr="00217C2A">
        <w:rPr>
          <w:rFonts w:cstheme="minorHAnsi"/>
          <w:b/>
          <w:bCs/>
          <w:sz w:val="18"/>
          <w:szCs w:val="18"/>
          <w:lang w:val="en-GB"/>
        </w:rPr>
        <w:lastRenderedPageBreak/>
        <w:t>Evaluation of staphylococcal biofilm composition.</w:t>
      </w:r>
      <w:bookmarkEnd w:id="6"/>
      <w:r w:rsidRPr="00217C2A">
        <w:rPr>
          <w:rFonts w:cstheme="minorHAnsi"/>
          <w:b/>
          <w:bCs/>
          <w:sz w:val="18"/>
          <w:szCs w:val="18"/>
          <w:lang w:val="en-GB"/>
        </w:rPr>
        <w:t xml:space="preserve"> </w:t>
      </w:r>
      <w:r w:rsidRPr="00217C2A">
        <w:rPr>
          <w:rFonts w:cstheme="minorHAnsi"/>
          <w:sz w:val="18"/>
          <w:szCs w:val="18"/>
          <w:lang w:val="en-GB"/>
        </w:rPr>
        <w:t>Implant surfaces with grown biofilm were washed with water 3 times. The main extracellular polymeric substances of staphylococcal biofilm (exopolysaccharides, proteins and eDNA) was evaluated by treating the implant surfaces for 15 minutes at 37 °C, under shaking respectively with (i) sodium meta-periodate (NaIO</w:t>
      </w:r>
      <w:r w:rsidRPr="00217C2A">
        <w:rPr>
          <w:rFonts w:cstheme="minorHAnsi"/>
          <w:sz w:val="18"/>
          <w:szCs w:val="18"/>
          <w:vertAlign w:val="subscript"/>
          <w:lang w:val="en-GB"/>
        </w:rPr>
        <w:t>4</w:t>
      </w:r>
      <w:r w:rsidRPr="00217C2A">
        <w:rPr>
          <w:rFonts w:cstheme="minorHAnsi"/>
          <w:sz w:val="18"/>
          <w:szCs w:val="18"/>
          <w:lang w:val="en-GB"/>
        </w:rPr>
        <w:t>, 0.04 mol/L in distilled water) for exopolysaccharide; (ii) TrypLE</w:t>
      </w:r>
      <w:r w:rsidRPr="00217C2A">
        <w:rPr>
          <w:rFonts w:cstheme="minorHAnsi"/>
          <w:sz w:val="18"/>
          <w:szCs w:val="18"/>
          <w:vertAlign w:val="superscript"/>
          <w:lang w:val="en-GB"/>
        </w:rPr>
        <w:t>TM</w:t>
      </w:r>
      <w:r w:rsidRPr="00217C2A">
        <w:rPr>
          <w:rFonts w:cstheme="minorHAnsi"/>
          <w:sz w:val="18"/>
          <w:szCs w:val="18"/>
          <w:lang w:val="en-GB"/>
        </w:rPr>
        <w:t xml:space="preserve"> recombinant enzyme for protein and (iii) DNase I (100 U/ml) for eDNA determination. The treated samples</w:t>
      </w:r>
      <w:r w:rsidRPr="00217C2A">
        <w:rPr>
          <w:rFonts w:cstheme="minorHAnsi"/>
          <w:sz w:val="18"/>
          <w:szCs w:val="18"/>
        </w:rPr>
        <w:t xml:space="preserve"> were stained with 1 ml 0.1% (m/V) crystal violet, deeply washed with demineralized water and air dried. The bound dye was dissolved with 1 ml of 33% glacial acetic acid. </w:t>
      </w:r>
      <w:r w:rsidRPr="00217C2A">
        <w:rPr>
          <w:rFonts w:cstheme="minorHAnsi"/>
          <w:sz w:val="18"/>
          <w:szCs w:val="18"/>
          <w:lang w:val="en-GB"/>
        </w:rPr>
        <w:t>Biomass before and after treatments was determined by spectrophotometry at 593 nm</w:t>
      </w:r>
      <w:r w:rsidR="003C32F7" w:rsidRPr="00217C2A">
        <w:rPr>
          <w:rFonts w:cstheme="minorHAnsi"/>
          <w:sz w:val="18"/>
          <w:szCs w:val="18"/>
          <w:lang w:val="en-GB"/>
        </w:rPr>
        <w:t>.</w:t>
      </w:r>
      <w:r w:rsidRPr="00217C2A">
        <w:rPr>
          <w:rFonts w:cstheme="minorHAnsi"/>
          <w:sz w:val="18"/>
          <w:szCs w:val="18"/>
          <w:lang w:val="en-GB"/>
        </w:rPr>
        <w:t xml:space="preserve"> </w:t>
      </w:r>
      <w:r w:rsidR="007528BB" w:rsidRPr="00217C2A">
        <w:rPr>
          <w:rFonts w:cstheme="minorHAnsi"/>
          <w:sz w:val="18"/>
          <w:szCs w:val="18"/>
          <w:vertAlign w:val="superscript"/>
        </w:rPr>
        <w:t>1</w:t>
      </w:r>
      <w:r w:rsidR="00911AFC" w:rsidRPr="00217C2A">
        <w:rPr>
          <w:rFonts w:cstheme="minorHAnsi"/>
          <w:sz w:val="18"/>
          <w:szCs w:val="18"/>
          <w:vertAlign w:val="superscript"/>
        </w:rPr>
        <w:t>8</w:t>
      </w:r>
    </w:p>
    <w:p w14:paraId="37C3299B" w14:textId="0EBDDDF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Changes of biofilm upon different treatments (</w:t>
      </w:r>
      <w:r w:rsidRPr="00217C2A">
        <w:rPr>
          <w:rFonts w:cstheme="minorHAnsi"/>
          <w:b/>
          <w:bCs/>
          <w:sz w:val="18"/>
          <w:szCs w:val="18"/>
        </w:rPr>
        <w:t>Figure S</w:t>
      </w:r>
      <w:r w:rsidR="00D97D7F" w:rsidRPr="00217C2A">
        <w:rPr>
          <w:rFonts w:cstheme="minorHAnsi"/>
          <w:b/>
          <w:bCs/>
          <w:sz w:val="18"/>
          <w:szCs w:val="18"/>
        </w:rPr>
        <w:t>5</w:t>
      </w:r>
      <w:r w:rsidRPr="00217C2A">
        <w:rPr>
          <w:rFonts w:cstheme="minorHAnsi"/>
          <w:sz w:val="18"/>
          <w:szCs w:val="18"/>
        </w:rPr>
        <w:t>) showed the strongest reduction of biomass after TryPLE. Consistent with previous findings, this suggests a biofilm extracellular matrix principally constituted of proteins</w:t>
      </w:r>
      <w:r w:rsidR="00375832" w:rsidRPr="00217C2A">
        <w:rPr>
          <w:rFonts w:cstheme="minorHAnsi"/>
          <w:sz w:val="18"/>
          <w:szCs w:val="18"/>
        </w:rPr>
        <w:t xml:space="preserve">. </w:t>
      </w:r>
      <w:r w:rsidR="004602E1" w:rsidRPr="00217C2A">
        <w:rPr>
          <w:rFonts w:cstheme="minorHAnsi"/>
          <w:sz w:val="18"/>
          <w:szCs w:val="18"/>
          <w:vertAlign w:val="superscript"/>
        </w:rPr>
        <w:t>1</w:t>
      </w:r>
      <w:r w:rsidR="00547EAE" w:rsidRPr="00217C2A">
        <w:rPr>
          <w:rFonts w:cstheme="minorHAnsi"/>
          <w:sz w:val="18"/>
          <w:szCs w:val="18"/>
          <w:vertAlign w:val="superscript"/>
        </w:rPr>
        <w:t>9</w:t>
      </w:r>
      <w:r w:rsidRPr="00217C2A">
        <w:rPr>
          <w:rFonts w:cstheme="minorHAnsi"/>
          <w:sz w:val="18"/>
          <w:szCs w:val="18"/>
          <w:vertAlign w:val="superscript"/>
        </w:rPr>
        <w:t>.</w:t>
      </w:r>
      <w:r w:rsidR="00375832" w:rsidRPr="00217C2A">
        <w:rPr>
          <w:rFonts w:cstheme="minorHAnsi"/>
          <w:sz w:val="18"/>
          <w:szCs w:val="18"/>
          <w:vertAlign w:val="superscript"/>
        </w:rPr>
        <w:t xml:space="preserve"> </w:t>
      </w:r>
      <w:r w:rsidRPr="00217C2A">
        <w:rPr>
          <w:rFonts w:cstheme="minorHAnsi"/>
          <w:sz w:val="18"/>
          <w:szCs w:val="18"/>
        </w:rPr>
        <w:t xml:space="preserve">Consequently, the use of TryPLE </w:t>
      </w:r>
      <w:proofErr w:type="gramStart"/>
      <w:r w:rsidRPr="00217C2A">
        <w:rPr>
          <w:rFonts w:cstheme="minorHAnsi"/>
          <w:sz w:val="18"/>
          <w:szCs w:val="18"/>
        </w:rPr>
        <w:t>served</w:t>
      </w:r>
      <w:proofErr w:type="gramEnd"/>
      <w:r w:rsidRPr="00217C2A">
        <w:rPr>
          <w:rFonts w:cstheme="minorHAnsi"/>
          <w:sz w:val="18"/>
          <w:szCs w:val="18"/>
        </w:rPr>
        <w:t xml:space="preserve"> for cell counting determination </w:t>
      </w:r>
      <w:r w:rsidR="004602E1" w:rsidRPr="00217C2A">
        <w:rPr>
          <w:rFonts w:cstheme="minorHAnsi"/>
          <w:sz w:val="18"/>
          <w:szCs w:val="18"/>
          <w:vertAlign w:val="superscript"/>
        </w:rPr>
        <w:t>1</w:t>
      </w:r>
      <w:r w:rsidR="007528BB" w:rsidRPr="00217C2A">
        <w:rPr>
          <w:rFonts w:cstheme="minorHAnsi"/>
          <w:sz w:val="18"/>
          <w:szCs w:val="18"/>
          <w:vertAlign w:val="superscript"/>
        </w:rPr>
        <w:t>2</w:t>
      </w:r>
      <w:r w:rsidRPr="00217C2A">
        <w:rPr>
          <w:rFonts w:cstheme="minorHAnsi"/>
          <w:sz w:val="18"/>
          <w:szCs w:val="18"/>
        </w:rPr>
        <w:t xml:space="preserve"> in the present work. </w:t>
      </w:r>
    </w:p>
    <w:p w14:paraId="551FEFB5" w14:textId="77777777"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rPr>
      </w:pPr>
      <w:r w:rsidRPr="00217C2A">
        <w:rPr>
          <w:rFonts w:cstheme="minorHAnsi"/>
          <w:sz w:val="18"/>
          <w:szCs w:val="18"/>
        </w:rPr>
        <w:t xml:space="preserve">Alkaline phosphatase activity (AP) basal levels in </w:t>
      </w:r>
      <w:r w:rsidRPr="00217C2A">
        <w:rPr>
          <w:rFonts w:cstheme="minorHAnsi"/>
          <w:i/>
          <w:iCs/>
          <w:sz w:val="18"/>
          <w:szCs w:val="18"/>
        </w:rPr>
        <w:t>S. aureus</w:t>
      </w:r>
      <w:r w:rsidRPr="00217C2A">
        <w:rPr>
          <w:rFonts w:cstheme="minorHAnsi"/>
          <w:sz w:val="18"/>
          <w:szCs w:val="18"/>
        </w:rPr>
        <w:t xml:space="preserve"> ATCC 25923 biofilm was 0.006 ± 0.001 DEA/ml.</w:t>
      </w:r>
    </w:p>
    <w:p w14:paraId="453BC8C6" w14:textId="3AE00DF0" w:rsidR="00580760" w:rsidRPr="00217C2A" w:rsidRDefault="00580760" w:rsidP="00C66C9F">
      <w:pPr>
        <w:spacing w:beforeLines="120" w:before="288" w:afterLines="120" w:after="288" w:line="360" w:lineRule="auto"/>
        <w:ind w:left="360"/>
        <w:jc w:val="both"/>
        <w:rPr>
          <w:rFonts w:cstheme="minorHAnsi"/>
          <w:sz w:val="18"/>
          <w:szCs w:val="18"/>
        </w:rPr>
      </w:pPr>
      <w:r w:rsidRPr="00217C2A">
        <w:rPr>
          <w:rFonts w:cstheme="minorHAnsi"/>
          <w:noProof/>
          <w:sz w:val="18"/>
          <w:szCs w:val="18"/>
          <w14:ligatures w14:val="standardContextual"/>
        </w:rPr>
        <w:drawing>
          <wp:inline distT="0" distB="0" distL="0" distR="0" wp14:anchorId="54A9C731" wp14:editId="104B8D21">
            <wp:extent cx="5943600" cy="2866390"/>
            <wp:effectExtent l="0" t="0" r="0" b="0"/>
            <wp:docPr id="1730400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00382" name="Picture 17304003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866390"/>
                    </a:xfrm>
                    <a:prstGeom prst="rect">
                      <a:avLst/>
                    </a:prstGeom>
                  </pic:spPr>
                </pic:pic>
              </a:graphicData>
            </a:graphic>
          </wp:inline>
        </w:drawing>
      </w:r>
      <w:r w:rsidRPr="00217C2A">
        <w:rPr>
          <w:rFonts w:cstheme="minorHAnsi"/>
          <w:b/>
          <w:bCs/>
          <w:sz w:val="18"/>
          <w:szCs w:val="18"/>
        </w:rPr>
        <w:t>Figure S</w:t>
      </w:r>
      <w:r w:rsidR="00D97D7F" w:rsidRPr="00217C2A">
        <w:rPr>
          <w:rFonts w:cstheme="minorHAnsi"/>
          <w:b/>
          <w:bCs/>
          <w:sz w:val="18"/>
          <w:szCs w:val="18"/>
        </w:rPr>
        <w:t>5</w:t>
      </w:r>
      <w:r w:rsidRPr="00217C2A">
        <w:rPr>
          <w:rFonts w:cstheme="minorHAnsi"/>
          <w:b/>
          <w:bCs/>
          <w:sz w:val="18"/>
          <w:szCs w:val="18"/>
        </w:rPr>
        <w:t>.</w:t>
      </w:r>
      <w:r w:rsidRPr="00217C2A">
        <w:rPr>
          <w:rFonts w:cstheme="minorHAnsi"/>
          <w:sz w:val="18"/>
          <w:szCs w:val="18"/>
        </w:rPr>
        <w:t xml:space="preserve"> (A) Changes in extracellular matrix composition and (B) biomass of </w:t>
      </w:r>
      <w:r w:rsidRPr="00217C2A">
        <w:rPr>
          <w:rFonts w:cstheme="minorHAnsi"/>
          <w:i/>
          <w:iCs/>
          <w:sz w:val="18"/>
          <w:szCs w:val="18"/>
        </w:rPr>
        <w:t>S. aureus</w:t>
      </w:r>
      <w:r w:rsidRPr="00217C2A">
        <w:rPr>
          <w:rFonts w:cstheme="minorHAnsi"/>
          <w:sz w:val="18"/>
          <w:szCs w:val="18"/>
        </w:rPr>
        <w:t xml:space="preserve"> ATCC 25923 </w:t>
      </w:r>
      <w:proofErr w:type="gramStart"/>
      <w:r w:rsidRPr="00217C2A">
        <w:rPr>
          <w:rFonts w:cstheme="minorHAnsi"/>
          <w:sz w:val="18"/>
          <w:szCs w:val="18"/>
        </w:rPr>
        <w:t>biofilm</w:t>
      </w:r>
      <w:proofErr w:type="gramEnd"/>
      <w:r w:rsidRPr="00217C2A">
        <w:rPr>
          <w:rFonts w:cstheme="minorHAnsi"/>
          <w:sz w:val="18"/>
          <w:szCs w:val="18"/>
        </w:rPr>
        <w:t xml:space="preserve"> after different treatments</w:t>
      </w:r>
      <w:r w:rsidR="00E02A91" w:rsidRPr="00217C2A">
        <w:rPr>
          <w:rFonts w:cstheme="minorHAnsi"/>
          <w:sz w:val="18"/>
          <w:szCs w:val="18"/>
        </w:rPr>
        <w:t>.</w:t>
      </w:r>
      <w:r w:rsidRPr="00217C2A">
        <w:rPr>
          <w:rFonts w:cstheme="minorHAnsi"/>
          <w:sz w:val="18"/>
          <w:szCs w:val="18"/>
        </w:rPr>
        <w:t xml:space="preserve"> </w:t>
      </w:r>
      <w:r w:rsidRPr="00217C2A">
        <w:rPr>
          <w:rFonts w:cstheme="minorHAnsi"/>
          <w:sz w:val="18"/>
          <w:szCs w:val="18"/>
        </w:rPr>
        <w:br w:type="page"/>
      </w:r>
    </w:p>
    <w:p w14:paraId="21921B7D" w14:textId="77777777" w:rsidR="00580760" w:rsidRPr="00217C2A" w:rsidRDefault="00580760" w:rsidP="00C66C9F">
      <w:pPr>
        <w:autoSpaceDE w:val="0"/>
        <w:autoSpaceDN w:val="0"/>
        <w:adjustRightInd w:val="0"/>
        <w:spacing w:beforeLines="120" w:before="288" w:afterLines="120" w:after="288" w:line="360" w:lineRule="auto"/>
        <w:ind w:left="360"/>
        <w:jc w:val="center"/>
        <w:rPr>
          <w:rFonts w:cstheme="minorHAnsi"/>
          <w:b/>
          <w:bCs/>
          <w:sz w:val="18"/>
          <w:szCs w:val="18"/>
        </w:rPr>
      </w:pPr>
      <w:r w:rsidRPr="00217C2A">
        <w:rPr>
          <w:rFonts w:cstheme="minorHAnsi"/>
          <w:b/>
          <w:bCs/>
          <w:noProof/>
          <w:sz w:val="18"/>
          <w:szCs w:val="18"/>
          <w:lang w:val="en-GB"/>
        </w:rPr>
        <w:lastRenderedPageBreak/>
        <w:drawing>
          <wp:inline distT="0" distB="0" distL="0" distR="0" wp14:anchorId="3D71D4CC" wp14:editId="52FD7D96">
            <wp:extent cx="3807460" cy="3807460"/>
            <wp:effectExtent l="0" t="0" r="0" b="0"/>
            <wp:docPr id="1728263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7460" cy="3807460"/>
                    </a:xfrm>
                    <a:prstGeom prst="rect">
                      <a:avLst/>
                    </a:prstGeom>
                    <a:noFill/>
                    <a:ln>
                      <a:noFill/>
                    </a:ln>
                  </pic:spPr>
                </pic:pic>
              </a:graphicData>
            </a:graphic>
          </wp:inline>
        </w:drawing>
      </w:r>
    </w:p>
    <w:p w14:paraId="7D354FCA" w14:textId="02FCB4FD" w:rsidR="00580760" w:rsidRPr="00217C2A" w:rsidRDefault="00580760" w:rsidP="00C66C9F">
      <w:pPr>
        <w:autoSpaceDE w:val="0"/>
        <w:autoSpaceDN w:val="0"/>
        <w:adjustRightInd w:val="0"/>
        <w:spacing w:beforeLines="120" w:before="288" w:afterLines="120" w:after="288" w:line="360" w:lineRule="auto"/>
        <w:ind w:left="360"/>
        <w:jc w:val="both"/>
        <w:rPr>
          <w:rFonts w:cstheme="minorHAnsi"/>
          <w:sz w:val="18"/>
          <w:szCs w:val="18"/>
          <w:lang w:val="en-GB"/>
        </w:rPr>
      </w:pPr>
      <w:bookmarkStart w:id="15" w:name="_Hlk160807534"/>
      <w:r w:rsidRPr="00217C2A">
        <w:rPr>
          <w:rFonts w:cstheme="minorHAnsi"/>
          <w:b/>
          <w:bCs/>
          <w:sz w:val="18"/>
          <w:szCs w:val="18"/>
        </w:rPr>
        <w:t>Figure S</w:t>
      </w:r>
      <w:r w:rsidR="00D97D7F" w:rsidRPr="00217C2A">
        <w:rPr>
          <w:rFonts w:cstheme="minorHAnsi"/>
          <w:b/>
          <w:bCs/>
          <w:sz w:val="18"/>
          <w:szCs w:val="18"/>
        </w:rPr>
        <w:t>6</w:t>
      </w:r>
      <w:r w:rsidRPr="00217C2A">
        <w:rPr>
          <w:rFonts w:cstheme="minorHAnsi"/>
          <w:b/>
          <w:bCs/>
          <w:sz w:val="18"/>
          <w:szCs w:val="18"/>
        </w:rPr>
        <w:t xml:space="preserve">. </w:t>
      </w:r>
      <w:r w:rsidRPr="00217C2A">
        <w:rPr>
          <w:rFonts w:cstheme="minorHAnsi"/>
          <w:sz w:val="18"/>
          <w:szCs w:val="18"/>
          <w:lang w:val="en-GB"/>
        </w:rPr>
        <w:t>Normalized CFU/mm</w:t>
      </w:r>
      <w:r w:rsidRPr="00217C2A">
        <w:rPr>
          <w:rFonts w:cstheme="minorHAnsi"/>
          <w:sz w:val="18"/>
          <w:szCs w:val="18"/>
          <w:vertAlign w:val="superscript"/>
          <w:lang w:val="en-GB"/>
        </w:rPr>
        <w:t>2</w:t>
      </w:r>
      <w:r w:rsidRPr="00217C2A">
        <w:rPr>
          <w:rFonts w:cstheme="minorHAnsi"/>
          <w:sz w:val="18"/>
          <w:szCs w:val="18"/>
          <w:lang w:val="en-GB"/>
        </w:rPr>
        <w:t xml:space="preserve"> of </w:t>
      </w:r>
      <w:r w:rsidRPr="00217C2A">
        <w:rPr>
          <w:rFonts w:cstheme="minorHAnsi"/>
          <w:i/>
          <w:iCs/>
          <w:sz w:val="18"/>
          <w:szCs w:val="18"/>
          <w:lang w:val="en-GB"/>
        </w:rPr>
        <w:t>S. aureus</w:t>
      </w:r>
      <w:r w:rsidRPr="00217C2A">
        <w:rPr>
          <w:rFonts w:cstheme="minorHAnsi"/>
          <w:sz w:val="18"/>
          <w:szCs w:val="18"/>
          <w:lang w:val="en-GB"/>
        </w:rPr>
        <w:t xml:space="preserve"> after biofilm treatment during 1 hour with polyphosphate at the concentration used for preparing NPs (4</w:t>
      </w:r>
      <w:r w:rsidR="00A008F5" w:rsidRPr="00217C2A">
        <w:rPr>
          <w:rFonts w:cstheme="minorHAnsi"/>
          <w:sz w:val="18"/>
          <w:szCs w:val="18"/>
          <w:lang w:val="en-GB"/>
        </w:rPr>
        <w:t>.</w:t>
      </w:r>
      <w:r w:rsidRPr="00217C2A">
        <w:rPr>
          <w:rFonts w:cstheme="minorHAnsi"/>
          <w:sz w:val="18"/>
          <w:szCs w:val="18"/>
          <w:lang w:val="en-GB"/>
        </w:rPr>
        <w:t xml:space="preserve">375 </w:t>
      </w:r>
      <w:r w:rsidR="00A008F5" w:rsidRPr="00217C2A">
        <w:rPr>
          <w:rFonts w:cstheme="minorHAnsi"/>
          <w:sz w:val="18"/>
          <w:szCs w:val="18"/>
          <w:lang w:val="en-GB"/>
        </w:rPr>
        <w:t>µ</w:t>
      </w:r>
      <w:r w:rsidRPr="00217C2A">
        <w:rPr>
          <w:rFonts w:cstheme="minorHAnsi"/>
          <w:sz w:val="18"/>
          <w:szCs w:val="18"/>
          <w:lang w:val="en-GB"/>
        </w:rPr>
        <w:t>M), M23 (625nM) and M23-PP NPs</w:t>
      </w:r>
      <w:bookmarkEnd w:id="15"/>
      <w:r w:rsidRPr="00217C2A">
        <w:rPr>
          <w:rFonts w:cstheme="minorHAnsi"/>
          <w:sz w:val="18"/>
          <w:szCs w:val="18"/>
          <w:lang w:val="en-GB"/>
        </w:rPr>
        <w:t xml:space="preserve"> (625nM in M23). While a strong inhibition of bacterial counts was observed for the PGH and the formed NPs, no inhibition was obtained upon treatment with polyphosphate.</w:t>
      </w:r>
    </w:p>
    <w:p w14:paraId="0143003B" w14:textId="77777777" w:rsidR="00580760" w:rsidRPr="00217C2A" w:rsidRDefault="00580760" w:rsidP="00C66C9F">
      <w:pPr>
        <w:spacing w:beforeLines="120" w:before="288" w:afterLines="120" w:after="288" w:line="360" w:lineRule="auto"/>
        <w:ind w:left="360"/>
        <w:rPr>
          <w:rFonts w:cstheme="minorHAnsi"/>
          <w:sz w:val="18"/>
          <w:szCs w:val="18"/>
        </w:rPr>
      </w:pPr>
      <w:r w:rsidRPr="00217C2A">
        <w:rPr>
          <w:rFonts w:cstheme="minorHAnsi"/>
          <w:sz w:val="18"/>
          <w:szCs w:val="18"/>
        </w:rPr>
        <w:br w:type="page"/>
      </w:r>
    </w:p>
    <w:p w14:paraId="026C970D" w14:textId="77777777" w:rsidR="00580760" w:rsidRPr="00217C2A" w:rsidRDefault="00580760" w:rsidP="00C66C9F">
      <w:pPr>
        <w:spacing w:beforeLines="120" w:before="288" w:afterLines="120" w:after="288" w:line="360" w:lineRule="auto"/>
        <w:ind w:left="360"/>
        <w:jc w:val="both"/>
        <w:rPr>
          <w:rFonts w:cstheme="minorHAnsi"/>
          <w:sz w:val="18"/>
          <w:szCs w:val="18"/>
        </w:rPr>
      </w:pPr>
    </w:p>
    <w:p w14:paraId="1AEB895F" w14:textId="5D03B68E" w:rsidR="00580760" w:rsidRPr="00217C2A" w:rsidRDefault="00580760" w:rsidP="00C66C9F">
      <w:pPr>
        <w:spacing w:beforeLines="120" w:before="288" w:afterLines="120" w:after="288" w:line="360" w:lineRule="auto"/>
        <w:ind w:left="360"/>
        <w:jc w:val="both"/>
        <w:rPr>
          <w:rFonts w:cstheme="minorHAnsi"/>
          <w:sz w:val="18"/>
          <w:szCs w:val="18"/>
          <w:highlight w:val="cyan"/>
        </w:rPr>
      </w:pPr>
      <w:bookmarkStart w:id="16" w:name="_Hlk152224137"/>
      <w:r w:rsidRPr="00217C2A">
        <w:rPr>
          <w:rFonts w:cstheme="minorHAnsi"/>
          <w:b/>
          <w:bCs/>
          <w:sz w:val="18"/>
          <w:szCs w:val="18"/>
        </w:rPr>
        <w:t>AP variation upon inorganic phosphate (Pi) onset.</w:t>
      </w:r>
      <w:bookmarkEnd w:id="16"/>
      <w:r w:rsidRPr="00217C2A">
        <w:rPr>
          <w:rFonts w:cstheme="minorHAnsi"/>
          <w:b/>
          <w:bCs/>
          <w:sz w:val="18"/>
          <w:szCs w:val="18"/>
        </w:rPr>
        <w:t xml:space="preserve"> </w:t>
      </w:r>
      <w:r w:rsidRPr="00217C2A">
        <w:rPr>
          <w:rFonts w:cstheme="minorHAnsi"/>
          <w:sz w:val="18"/>
          <w:szCs w:val="18"/>
        </w:rPr>
        <w:t>Biofilm treated with P</w:t>
      </w:r>
      <w:r w:rsidRPr="00217C2A">
        <w:rPr>
          <w:rFonts w:cstheme="minorHAnsi"/>
          <w:sz w:val="18"/>
          <w:szCs w:val="18"/>
          <w:vertAlign w:val="subscript"/>
        </w:rPr>
        <w:t xml:space="preserve">i </w:t>
      </w:r>
      <w:r w:rsidRPr="00217C2A">
        <w:rPr>
          <w:rFonts w:cstheme="minorHAnsi"/>
          <w:sz w:val="18"/>
          <w:szCs w:val="18"/>
        </w:rPr>
        <w:t>for 1 h and subsequently with the different treatments supplemented with P</w:t>
      </w:r>
      <w:r w:rsidRPr="00217C2A">
        <w:rPr>
          <w:rFonts w:cstheme="minorHAnsi"/>
          <w:sz w:val="18"/>
          <w:szCs w:val="18"/>
          <w:vertAlign w:val="subscript"/>
        </w:rPr>
        <w:t xml:space="preserve">i </w:t>
      </w:r>
      <w:r w:rsidRPr="00217C2A">
        <w:rPr>
          <w:rFonts w:cstheme="minorHAnsi"/>
          <w:sz w:val="18"/>
          <w:szCs w:val="18"/>
        </w:rPr>
        <w:t>(</w:t>
      </w:r>
      <w:r w:rsidRPr="00217C2A">
        <w:rPr>
          <w:rFonts w:cstheme="minorHAnsi"/>
          <w:b/>
          <w:bCs/>
          <w:sz w:val="18"/>
          <w:szCs w:val="18"/>
        </w:rPr>
        <w:t>Figure S</w:t>
      </w:r>
      <w:r w:rsidR="00D97D7F" w:rsidRPr="00217C2A">
        <w:rPr>
          <w:rFonts w:cstheme="minorHAnsi"/>
          <w:b/>
          <w:bCs/>
          <w:sz w:val="18"/>
          <w:szCs w:val="18"/>
        </w:rPr>
        <w:t>7</w:t>
      </w:r>
      <w:r w:rsidRPr="00217C2A">
        <w:rPr>
          <w:rFonts w:cstheme="minorHAnsi"/>
          <w:sz w:val="18"/>
          <w:szCs w:val="18"/>
        </w:rPr>
        <w:t>) showed similar reduction of AP activity.</w:t>
      </w:r>
    </w:p>
    <w:p w14:paraId="5901B09A" w14:textId="77777777" w:rsidR="00580760" w:rsidRPr="00217C2A" w:rsidRDefault="00580760" w:rsidP="00C66C9F">
      <w:pPr>
        <w:spacing w:beforeLines="120" w:before="288" w:afterLines="120" w:after="288" w:line="360" w:lineRule="auto"/>
        <w:ind w:left="360"/>
        <w:jc w:val="center"/>
        <w:rPr>
          <w:rFonts w:cstheme="minorHAnsi"/>
          <w:sz w:val="18"/>
          <w:szCs w:val="18"/>
        </w:rPr>
      </w:pPr>
      <w:r w:rsidRPr="00217C2A">
        <w:rPr>
          <w:rFonts w:cstheme="minorHAnsi"/>
          <w:noProof/>
          <w:sz w:val="18"/>
          <w:szCs w:val="18"/>
          <w14:ligatures w14:val="standardContextual"/>
        </w:rPr>
        <w:drawing>
          <wp:inline distT="0" distB="0" distL="0" distR="0" wp14:anchorId="61C7B769" wp14:editId="45D421C4">
            <wp:extent cx="3677163" cy="2953162"/>
            <wp:effectExtent l="0" t="0" r="0" b="0"/>
            <wp:docPr id="1617712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12507" name="Picture 1617712507"/>
                    <pic:cNvPicPr/>
                  </pic:nvPicPr>
                  <pic:blipFill>
                    <a:blip r:embed="rId17">
                      <a:extLst>
                        <a:ext uri="{28A0092B-C50C-407E-A947-70E740481C1C}">
                          <a14:useLocalDpi xmlns:a14="http://schemas.microsoft.com/office/drawing/2010/main" val="0"/>
                        </a:ext>
                      </a:extLst>
                    </a:blip>
                    <a:stretch>
                      <a:fillRect/>
                    </a:stretch>
                  </pic:blipFill>
                  <pic:spPr>
                    <a:xfrm>
                      <a:off x="0" y="0"/>
                      <a:ext cx="3677163" cy="2953162"/>
                    </a:xfrm>
                    <a:prstGeom prst="rect">
                      <a:avLst/>
                    </a:prstGeom>
                  </pic:spPr>
                </pic:pic>
              </a:graphicData>
            </a:graphic>
          </wp:inline>
        </w:drawing>
      </w:r>
    </w:p>
    <w:p w14:paraId="30E0E025" w14:textId="3C61C514" w:rsidR="00580760" w:rsidRPr="00217C2A" w:rsidRDefault="00580760" w:rsidP="00C66C9F">
      <w:pPr>
        <w:spacing w:beforeLines="120" w:before="288" w:afterLines="120" w:after="288" w:line="360" w:lineRule="auto"/>
        <w:ind w:left="360"/>
        <w:jc w:val="center"/>
        <w:rPr>
          <w:rFonts w:cstheme="minorHAnsi"/>
          <w:sz w:val="18"/>
          <w:szCs w:val="18"/>
          <w:highlight w:val="cyan"/>
        </w:rPr>
      </w:pPr>
      <w:r w:rsidRPr="00217C2A">
        <w:rPr>
          <w:rFonts w:cstheme="minorHAnsi"/>
          <w:b/>
          <w:bCs/>
          <w:sz w:val="18"/>
          <w:szCs w:val="18"/>
        </w:rPr>
        <w:t>Figure S</w:t>
      </w:r>
      <w:r w:rsidR="00D97D7F" w:rsidRPr="00217C2A">
        <w:rPr>
          <w:rFonts w:cstheme="minorHAnsi"/>
          <w:b/>
          <w:bCs/>
          <w:sz w:val="18"/>
          <w:szCs w:val="18"/>
        </w:rPr>
        <w:t>7</w:t>
      </w:r>
      <w:r w:rsidRPr="00217C2A">
        <w:rPr>
          <w:rFonts w:cstheme="minorHAnsi"/>
          <w:sz w:val="18"/>
          <w:szCs w:val="18"/>
        </w:rPr>
        <w:t>. Alkaline phosphatase activity variation upon onset of P</w:t>
      </w:r>
      <w:r w:rsidRPr="00217C2A">
        <w:rPr>
          <w:rFonts w:cstheme="minorHAnsi"/>
          <w:sz w:val="18"/>
          <w:szCs w:val="18"/>
          <w:vertAlign w:val="subscript"/>
        </w:rPr>
        <w:t>i</w:t>
      </w:r>
      <w:r w:rsidRPr="00217C2A">
        <w:rPr>
          <w:rFonts w:cstheme="minorHAnsi"/>
          <w:sz w:val="18"/>
          <w:szCs w:val="18"/>
        </w:rPr>
        <w:t xml:space="preserve"> in biofilm treated with different samples</w:t>
      </w:r>
      <w:r w:rsidR="00E938D0" w:rsidRPr="00217C2A">
        <w:rPr>
          <w:rFonts w:cstheme="minorHAnsi"/>
          <w:sz w:val="18"/>
          <w:szCs w:val="18"/>
        </w:rPr>
        <w:t>.</w:t>
      </w:r>
    </w:p>
    <w:p w14:paraId="3E03C5A8" w14:textId="1A10BA29" w:rsidR="001B71B9" w:rsidRPr="00217C2A" w:rsidRDefault="001B71B9" w:rsidP="00C66C9F">
      <w:pPr>
        <w:spacing w:beforeLines="120" w:before="288" w:afterLines="120" w:after="288" w:line="360" w:lineRule="auto"/>
        <w:ind w:left="360"/>
        <w:rPr>
          <w:rFonts w:cstheme="minorHAnsi"/>
          <w:sz w:val="18"/>
          <w:szCs w:val="18"/>
        </w:rPr>
      </w:pPr>
      <w:r w:rsidRPr="00217C2A">
        <w:rPr>
          <w:rFonts w:cstheme="minorHAnsi"/>
          <w:sz w:val="18"/>
          <w:szCs w:val="18"/>
        </w:rPr>
        <w:br w:type="page"/>
      </w:r>
    </w:p>
    <w:p w14:paraId="31C28C2F" w14:textId="77777777" w:rsidR="00580760" w:rsidRPr="00217C2A" w:rsidRDefault="00580760" w:rsidP="00C66C9F">
      <w:pPr>
        <w:spacing w:beforeLines="120" w:before="288" w:afterLines="120" w:after="288" w:line="360" w:lineRule="auto"/>
        <w:ind w:left="360"/>
        <w:jc w:val="both"/>
        <w:rPr>
          <w:rFonts w:cstheme="minorHAnsi"/>
          <w:b/>
          <w:bCs/>
          <w:sz w:val="18"/>
          <w:szCs w:val="18"/>
          <w:lang w:val="de-DE"/>
        </w:rPr>
      </w:pPr>
      <w:r w:rsidRPr="00217C2A">
        <w:rPr>
          <w:rFonts w:cstheme="minorHAnsi"/>
          <w:b/>
          <w:bCs/>
          <w:sz w:val="18"/>
          <w:szCs w:val="18"/>
          <w:lang w:val="de-DE"/>
        </w:rPr>
        <w:lastRenderedPageBreak/>
        <w:t>References</w:t>
      </w:r>
    </w:p>
    <w:p w14:paraId="47371705" w14:textId="53EF942D" w:rsidR="004602E1" w:rsidRPr="00217C2A" w:rsidRDefault="004602E1" w:rsidP="00C66C9F">
      <w:pPr>
        <w:autoSpaceDE w:val="0"/>
        <w:autoSpaceDN w:val="0"/>
        <w:spacing w:beforeLines="120" w:before="288" w:afterLines="120" w:after="288" w:line="360" w:lineRule="auto"/>
        <w:ind w:left="360"/>
        <w:divId w:val="920989363"/>
        <w:rPr>
          <w:rFonts w:eastAsia="Times New Roman" w:cstheme="minorHAnsi"/>
          <w:sz w:val="18"/>
          <w:szCs w:val="18"/>
          <w:lang w:val="de-DE"/>
        </w:rPr>
      </w:pPr>
      <w:r w:rsidRPr="00217C2A">
        <w:rPr>
          <w:rFonts w:eastAsia="Times New Roman" w:cstheme="minorHAnsi"/>
          <w:sz w:val="18"/>
          <w:szCs w:val="18"/>
          <w:lang w:val="de-DE"/>
        </w:rPr>
        <w:t>1</w:t>
      </w:r>
      <w:r w:rsidRPr="00217C2A">
        <w:rPr>
          <w:rFonts w:eastAsia="Times New Roman" w:cstheme="minorHAnsi"/>
          <w:sz w:val="18"/>
          <w:szCs w:val="18"/>
          <w:lang w:val="de-DE"/>
        </w:rPr>
        <w:tab/>
        <w:t xml:space="preserve">M. Schulz, S. Calabrese, F. Hausladen, H. Wurm, D. Drossart, K. Stock, A. M. Sobieraj, F. Eichenseher, M. J. Loessner, M. Schmelcher, A. Gerhardts, U. Goetz, M. Handel, A. Serr, G. Haecker, J. Li, M. Specht, P. Koch, M. Meyer, P. Tepper, R. Rother, M. Jehle, S. Wadle, R. Zengerle, F. Von Stetten, N. Paust and N. Borst, </w:t>
      </w:r>
      <w:r w:rsidRPr="00217C2A">
        <w:rPr>
          <w:rFonts w:eastAsia="Times New Roman" w:cstheme="minorHAnsi"/>
          <w:i/>
          <w:iCs/>
          <w:sz w:val="18"/>
          <w:szCs w:val="18"/>
          <w:lang w:val="de-DE"/>
        </w:rPr>
        <w:t>Lab Chip</w:t>
      </w:r>
      <w:r w:rsidRPr="00217C2A">
        <w:rPr>
          <w:rFonts w:eastAsia="Times New Roman" w:cstheme="minorHAnsi"/>
          <w:sz w:val="18"/>
          <w:szCs w:val="18"/>
          <w:lang w:val="de-DE"/>
        </w:rPr>
        <w:t xml:space="preserve">, 2020, </w:t>
      </w:r>
      <w:r w:rsidRPr="00217C2A">
        <w:rPr>
          <w:rFonts w:eastAsia="Times New Roman" w:cstheme="minorHAnsi"/>
          <w:b/>
          <w:bCs/>
          <w:sz w:val="18"/>
          <w:szCs w:val="18"/>
          <w:lang w:val="de-DE"/>
        </w:rPr>
        <w:t>20</w:t>
      </w:r>
      <w:r w:rsidRPr="00217C2A">
        <w:rPr>
          <w:rFonts w:eastAsia="Times New Roman" w:cstheme="minorHAnsi"/>
          <w:sz w:val="18"/>
          <w:szCs w:val="18"/>
          <w:lang w:val="de-DE"/>
        </w:rPr>
        <w:t>, 2549–2561.</w:t>
      </w:r>
    </w:p>
    <w:p w14:paraId="277AE60C" w14:textId="77777777" w:rsidR="004602E1" w:rsidRPr="00217C2A" w:rsidRDefault="004602E1" w:rsidP="00C66C9F">
      <w:pPr>
        <w:autoSpaceDE w:val="0"/>
        <w:autoSpaceDN w:val="0"/>
        <w:spacing w:beforeLines="120" w:before="288" w:afterLines="120" w:after="288" w:line="360" w:lineRule="auto"/>
        <w:ind w:left="360"/>
        <w:divId w:val="1511751359"/>
        <w:rPr>
          <w:rFonts w:eastAsia="Times New Roman" w:cstheme="minorHAnsi"/>
          <w:sz w:val="18"/>
          <w:szCs w:val="18"/>
          <w:lang w:val="de-DE"/>
        </w:rPr>
      </w:pPr>
      <w:r w:rsidRPr="00217C2A">
        <w:rPr>
          <w:rFonts w:eastAsia="Times New Roman" w:cstheme="minorHAnsi"/>
          <w:sz w:val="18"/>
          <w:szCs w:val="18"/>
          <w:lang w:val="de-DE"/>
        </w:rPr>
        <w:t>2</w:t>
      </w:r>
      <w:r w:rsidRPr="00217C2A">
        <w:rPr>
          <w:rFonts w:eastAsia="Times New Roman" w:cstheme="minorHAnsi"/>
          <w:sz w:val="18"/>
          <w:szCs w:val="18"/>
          <w:lang w:val="de-DE"/>
        </w:rPr>
        <w:tab/>
        <w:t xml:space="preserve">C. Röhrig, M. Huemer, D. Lorgé, S. Luterbacher, P. Phothaworn, C. Schefer, A. M. Sobieraj, L. V Zinsli, S. Mairpady Shambat, N. Leimer, A. P. Keller, F. Eichenseher, Y. Shen, S. Korbsrisate, A. S. Zinkernagel, M. J. Loessner and M. Schmelcher, </w:t>
      </w:r>
      <w:r w:rsidRPr="00217C2A">
        <w:rPr>
          <w:rFonts w:eastAsia="Times New Roman" w:cstheme="minorHAnsi"/>
          <w:i/>
          <w:iCs/>
          <w:sz w:val="18"/>
          <w:szCs w:val="18"/>
          <w:lang w:val="de-DE"/>
        </w:rPr>
        <w:t>mBio</w:t>
      </w:r>
      <w:r w:rsidRPr="00217C2A">
        <w:rPr>
          <w:rFonts w:eastAsia="Times New Roman" w:cstheme="minorHAnsi"/>
          <w:sz w:val="18"/>
          <w:szCs w:val="18"/>
          <w:lang w:val="de-DE"/>
        </w:rPr>
        <w:t xml:space="preserve">, 2020, </w:t>
      </w:r>
      <w:r w:rsidRPr="00217C2A">
        <w:rPr>
          <w:rFonts w:eastAsia="Times New Roman" w:cstheme="minorHAnsi"/>
          <w:b/>
          <w:bCs/>
          <w:sz w:val="18"/>
          <w:szCs w:val="18"/>
          <w:lang w:val="de-DE"/>
        </w:rPr>
        <w:t>11</w:t>
      </w:r>
      <w:r w:rsidRPr="00217C2A">
        <w:rPr>
          <w:rFonts w:eastAsia="Times New Roman" w:cstheme="minorHAnsi"/>
          <w:sz w:val="18"/>
          <w:szCs w:val="18"/>
          <w:lang w:val="de-DE"/>
        </w:rPr>
        <w:t>, 1–19.</w:t>
      </w:r>
    </w:p>
    <w:p w14:paraId="30D81BEC" w14:textId="77777777" w:rsidR="004602E1" w:rsidRPr="00217C2A" w:rsidRDefault="004602E1" w:rsidP="00C66C9F">
      <w:pPr>
        <w:autoSpaceDE w:val="0"/>
        <w:autoSpaceDN w:val="0"/>
        <w:spacing w:beforeLines="120" w:before="288" w:afterLines="120" w:after="288" w:line="360" w:lineRule="auto"/>
        <w:ind w:left="360"/>
        <w:divId w:val="346098580"/>
        <w:rPr>
          <w:rFonts w:eastAsia="Times New Roman" w:cstheme="minorHAnsi"/>
          <w:sz w:val="18"/>
          <w:szCs w:val="18"/>
          <w:lang w:val="de-DE"/>
        </w:rPr>
      </w:pPr>
      <w:r w:rsidRPr="00217C2A">
        <w:rPr>
          <w:rFonts w:eastAsia="Times New Roman" w:cstheme="minorHAnsi"/>
          <w:sz w:val="18"/>
          <w:szCs w:val="18"/>
          <w:lang w:val="de-DE"/>
        </w:rPr>
        <w:t>3</w:t>
      </w:r>
      <w:r w:rsidRPr="00217C2A">
        <w:rPr>
          <w:rFonts w:eastAsia="Times New Roman" w:cstheme="minorHAnsi"/>
          <w:sz w:val="18"/>
          <w:szCs w:val="18"/>
          <w:lang w:val="de-DE"/>
        </w:rPr>
        <w:tab/>
        <w:t xml:space="preserve">A. M. Sobieraj, M. Huemer, L. V. Zinsli, S. Meile, A. P. Keller, C. Röhrig, F. Eichenseher, Y. Shen, A. S. Zinkernagel, M. J. Loessner and M. Schmelcher, </w:t>
      </w:r>
      <w:r w:rsidRPr="00217C2A">
        <w:rPr>
          <w:rFonts w:eastAsia="Times New Roman" w:cstheme="minorHAnsi"/>
          <w:i/>
          <w:iCs/>
          <w:sz w:val="18"/>
          <w:szCs w:val="18"/>
          <w:lang w:val="de-DE"/>
        </w:rPr>
        <w:t>mBio</w:t>
      </w:r>
      <w:r w:rsidRPr="00217C2A">
        <w:rPr>
          <w:rFonts w:eastAsia="Times New Roman" w:cstheme="minorHAnsi"/>
          <w:sz w:val="18"/>
          <w:szCs w:val="18"/>
          <w:lang w:val="de-DE"/>
        </w:rPr>
        <w:t xml:space="preserve">, 2020, </w:t>
      </w:r>
      <w:r w:rsidRPr="00217C2A">
        <w:rPr>
          <w:rFonts w:eastAsia="Times New Roman" w:cstheme="minorHAnsi"/>
          <w:b/>
          <w:bCs/>
          <w:sz w:val="18"/>
          <w:szCs w:val="18"/>
          <w:lang w:val="de-DE"/>
        </w:rPr>
        <w:t>11</w:t>
      </w:r>
      <w:r w:rsidRPr="00217C2A">
        <w:rPr>
          <w:rFonts w:eastAsia="Times New Roman" w:cstheme="minorHAnsi"/>
          <w:sz w:val="18"/>
          <w:szCs w:val="18"/>
          <w:lang w:val="de-DE"/>
        </w:rPr>
        <w:t>, 1–16.</w:t>
      </w:r>
    </w:p>
    <w:p w14:paraId="6DB40419" w14:textId="77777777" w:rsidR="004602E1" w:rsidRPr="00217C2A" w:rsidRDefault="004602E1" w:rsidP="00C66C9F">
      <w:pPr>
        <w:autoSpaceDE w:val="0"/>
        <w:autoSpaceDN w:val="0"/>
        <w:spacing w:beforeLines="120" w:before="288" w:afterLines="120" w:after="288" w:line="360" w:lineRule="auto"/>
        <w:ind w:left="360"/>
        <w:divId w:val="1503739684"/>
        <w:rPr>
          <w:rFonts w:eastAsia="Times New Roman" w:cstheme="minorHAnsi"/>
          <w:sz w:val="18"/>
          <w:szCs w:val="18"/>
          <w:lang w:val="de-DE"/>
        </w:rPr>
      </w:pPr>
      <w:r w:rsidRPr="00217C2A">
        <w:rPr>
          <w:rFonts w:eastAsia="Times New Roman" w:cstheme="minorHAnsi"/>
          <w:sz w:val="18"/>
          <w:szCs w:val="18"/>
          <w:lang w:val="de-DE"/>
        </w:rPr>
        <w:t>4</w:t>
      </w:r>
      <w:r w:rsidRPr="00217C2A">
        <w:rPr>
          <w:rFonts w:eastAsia="Times New Roman" w:cstheme="minorHAnsi"/>
          <w:sz w:val="18"/>
          <w:szCs w:val="18"/>
          <w:lang w:val="de-DE"/>
        </w:rPr>
        <w:tab/>
        <w:t xml:space="preserve">M. Schulz, S. Calabrese, F. Hausladen, H. Wurm, D. Drossart, K. Stock, A. M. Sobieraj, F. Eichenseher, M. J. Loessner, M. Schmelcher, A. Gerhardts, U. Goetz, M. Handel, A. Serr, G. Haecker, J. Li, M. Specht, P. Koch, M. Meyer, P. Tepper, R. Rother, M. Jehle, S. Wadle, R. Zengerle, F. Von Stetten, N. Paust and N. Borst, </w:t>
      </w:r>
      <w:r w:rsidRPr="00217C2A">
        <w:rPr>
          <w:rFonts w:eastAsia="Times New Roman" w:cstheme="minorHAnsi"/>
          <w:i/>
          <w:iCs/>
          <w:sz w:val="18"/>
          <w:szCs w:val="18"/>
          <w:lang w:val="de-DE"/>
        </w:rPr>
        <w:t>Lab Chip</w:t>
      </w:r>
      <w:r w:rsidRPr="00217C2A">
        <w:rPr>
          <w:rFonts w:eastAsia="Times New Roman" w:cstheme="minorHAnsi"/>
          <w:sz w:val="18"/>
          <w:szCs w:val="18"/>
          <w:lang w:val="de-DE"/>
        </w:rPr>
        <w:t xml:space="preserve">, 2020, </w:t>
      </w:r>
      <w:r w:rsidRPr="00217C2A">
        <w:rPr>
          <w:rFonts w:eastAsia="Times New Roman" w:cstheme="minorHAnsi"/>
          <w:b/>
          <w:bCs/>
          <w:sz w:val="18"/>
          <w:szCs w:val="18"/>
          <w:lang w:val="de-DE"/>
        </w:rPr>
        <w:t>20</w:t>
      </w:r>
      <w:r w:rsidRPr="00217C2A">
        <w:rPr>
          <w:rFonts w:eastAsia="Times New Roman" w:cstheme="minorHAnsi"/>
          <w:sz w:val="18"/>
          <w:szCs w:val="18"/>
          <w:lang w:val="de-DE"/>
        </w:rPr>
        <w:t>, 2549–2561.</w:t>
      </w:r>
    </w:p>
    <w:p w14:paraId="2E0E2B58" w14:textId="77777777" w:rsidR="004602E1" w:rsidRPr="00217C2A" w:rsidRDefault="004602E1" w:rsidP="00C66C9F">
      <w:pPr>
        <w:autoSpaceDE w:val="0"/>
        <w:autoSpaceDN w:val="0"/>
        <w:spacing w:beforeLines="120" w:before="288" w:afterLines="120" w:after="288" w:line="360" w:lineRule="auto"/>
        <w:ind w:left="360"/>
        <w:divId w:val="1155025763"/>
        <w:rPr>
          <w:rFonts w:eastAsia="Times New Roman" w:cstheme="minorHAnsi"/>
          <w:sz w:val="18"/>
          <w:szCs w:val="18"/>
          <w:lang w:val="de-DE"/>
        </w:rPr>
      </w:pPr>
      <w:r w:rsidRPr="00217C2A">
        <w:rPr>
          <w:rFonts w:eastAsia="Times New Roman" w:cstheme="minorHAnsi"/>
          <w:sz w:val="18"/>
          <w:szCs w:val="18"/>
          <w:lang w:val="de-DE"/>
        </w:rPr>
        <w:t>5</w:t>
      </w:r>
      <w:r w:rsidRPr="00217C2A">
        <w:rPr>
          <w:rFonts w:eastAsia="Times New Roman" w:cstheme="minorHAnsi"/>
          <w:sz w:val="18"/>
          <w:szCs w:val="18"/>
          <w:lang w:val="de-DE"/>
        </w:rPr>
        <w:tab/>
        <w:t xml:space="preserve">J. Seijsing, A. M. Sobieraj, N. Keller, Y. Shen, A. S. Zinkernagel, M. J. Loessner and M. Schmelcher, </w:t>
      </w:r>
      <w:r w:rsidRPr="00217C2A">
        <w:rPr>
          <w:rFonts w:eastAsia="Times New Roman" w:cstheme="minorHAnsi"/>
          <w:i/>
          <w:iCs/>
          <w:sz w:val="18"/>
          <w:szCs w:val="18"/>
          <w:lang w:val="de-DE"/>
        </w:rPr>
        <w:t>Front Microbiol</w:t>
      </w:r>
      <w:r w:rsidRPr="00217C2A">
        <w:rPr>
          <w:rFonts w:eastAsia="Times New Roman" w:cstheme="minorHAnsi"/>
          <w:sz w:val="18"/>
          <w:szCs w:val="18"/>
          <w:lang w:val="de-DE"/>
        </w:rPr>
        <w:t xml:space="preserve">, 2018, </w:t>
      </w:r>
      <w:r w:rsidRPr="00217C2A">
        <w:rPr>
          <w:rFonts w:eastAsia="Times New Roman" w:cstheme="minorHAnsi"/>
          <w:b/>
          <w:bCs/>
          <w:sz w:val="18"/>
          <w:szCs w:val="18"/>
          <w:lang w:val="de-DE"/>
        </w:rPr>
        <w:t>9</w:t>
      </w:r>
      <w:r w:rsidRPr="00217C2A">
        <w:rPr>
          <w:rFonts w:eastAsia="Times New Roman" w:cstheme="minorHAnsi"/>
          <w:sz w:val="18"/>
          <w:szCs w:val="18"/>
          <w:lang w:val="de-DE"/>
        </w:rPr>
        <w:t>, 1–9.</w:t>
      </w:r>
    </w:p>
    <w:p w14:paraId="70A196F9" w14:textId="77777777" w:rsidR="004602E1" w:rsidRPr="00217C2A" w:rsidRDefault="004602E1" w:rsidP="00C66C9F">
      <w:pPr>
        <w:autoSpaceDE w:val="0"/>
        <w:autoSpaceDN w:val="0"/>
        <w:spacing w:beforeLines="120" w:before="288" w:afterLines="120" w:after="288" w:line="360" w:lineRule="auto"/>
        <w:ind w:left="360"/>
        <w:divId w:val="612902985"/>
        <w:rPr>
          <w:rFonts w:eastAsia="Times New Roman" w:cstheme="minorHAnsi"/>
          <w:sz w:val="18"/>
          <w:szCs w:val="18"/>
        </w:rPr>
      </w:pPr>
      <w:r w:rsidRPr="00217C2A">
        <w:rPr>
          <w:rFonts w:eastAsia="Times New Roman" w:cstheme="minorHAnsi"/>
          <w:sz w:val="18"/>
          <w:szCs w:val="18"/>
        </w:rPr>
        <w:t>6</w:t>
      </w:r>
      <w:r w:rsidRPr="00217C2A">
        <w:rPr>
          <w:rFonts w:eastAsia="Times New Roman" w:cstheme="minorHAnsi"/>
          <w:sz w:val="18"/>
          <w:szCs w:val="18"/>
        </w:rPr>
        <w:tab/>
        <w:t xml:space="preserve">E. Gasteiger, C. Hoogland, A. Gattiker, S. Duvaud, M. R. Wilkins, R. D. Appel and A. Bairoch, </w:t>
      </w:r>
      <w:r w:rsidRPr="00217C2A">
        <w:rPr>
          <w:rFonts w:eastAsia="Times New Roman" w:cstheme="minorHAnsi"/>
          <w:i/>
          <w:iCs/>
          <w:sz w:val="18"/>
          <w:szCs w:val="18"/>
        </w:rPr>
        <w:t>The Proteomics Protocols Handbook</w:t>
      </w:r>
      <w:r w:rsidRPr="00217C2A">
        <w:rPr>
          <w:rFonts w:eastAsia="Times New Roman" w:cstheme="minorHAnsi"/>
          <w:sz w:val="18"/>
          <w:szCs w:val="18"/>
        </w:rPr>
        <w:t>, 2005, 571–608.</w:t>
      </w:r>
    </w:p>
    <w:p w14:paraId="321482EA" w14:textId="6B315C14" w:rsidR="005C7578" w:rsidRPr="00217C2A" w:rsidRDefault="004602E1" w:rsidP="00BF4F70">
      <w:pPr>
        <w:autoSpaceDE w:val="0"/>
        <w:autoSpaceDN w:val="0"/>
        <w:spacing w:beforeLines="120" w:before="288" w:afterLines="120" w:after="288" w:line="360" w:lineRule="auto"/>
        <w:ind w:left="360"/>
        <w:divId w:val="1303386320"/>
        <w:rPr>
          <w:rFonts w:eastAsia="Times New Roman" w:cstheme="minorHAnsi"/>
          <w:sz w:val="18"/>
          <w:szCs w:val="18"/>
        </w:rPr>
      </w:pPr>
      <w:r w:rsidRPr="00217C2A">
        <w:rPr>
          <w:rFonts w:eastAsia="Times New Roman" w:cstheme="minorHAnsi"/>
          <w:sz w:val="18"/>
          <w:szCs w:val="18"/>
        </w:rPr>
        <w:t>7</w:t>
      </w:r>
      <w:r w:rsidRPr="00217C2A">
        <w:rPr>
          <w:rFonts w:eastAsia="Times New Roman" w:cstheme="minorHAnsi"/>
          <w:sz w:val="18"/>
          <w:szCs w:val="18"/>
        </w:rPr>
        <w:tab/>
        <w:t xml:space="preserve">Z. B. Akkuş-Dağdeviren, A. Saleh, C. Schöpf, M. Truszkowska, D. Bratschun-Khan, A. Fürst, A. Seybold, M. Offterdinger, F. Marx and A. Bernkop-Schnürch, </w:t>
      </w:r>
      <w:r w:rsidRPr="00217C2A">
        <w:rPr>
          <w:rFonts w:eastAsia="Times New Roman" w:cstheme="minorHAnsi"/>
          <w:i/>
          <w:iCs/>
          <w:sz w:val="18"/>
          <w:szCs w:val="18"/>
        </w:rPr>
        <w:t>J Colloid Interface Sci</w:t>
      </w:r>
      <w:r w:rsidRPr="00217C2A">
        <w:rPr>
          <w:rFonts w:eastAsia="Times New Roman" w:cstheme="minorHAnsi"/>
          <w:sz w:val="18"/>
          <w:szCs w:val="18"/>
        </w:rPr>
        <w:t xml:space="preserve">, 2023, </w:t>
      </w:r>
      <w:r w:rsidRPr="00217C2A">
        <w:rPr>
          <w:rFonts w:eastAsia="Times New Roman" w:cstheme="minorHAnsi"/>
          <w:b/>
          <w:bCs/>
          <w:sz w:val="18"/>
          <w:szCs w:val="18"/>
        </w:rPr>
        <w:t>646</w:t>
      </w:r>
      <w:r w:rsidRPr="00217C2A">
        <w:rPr>
          <w:rFonts w:eastAsia="Times New Roman" w:cstheme="minorHAnsi"/>
          <w:sz w:val="18"/>
          <w:szCs w:val="18"/>
        </w:rPr>
        <w:t>, 290–300.</w:t>
      </w:r>
    </w:p>
    <w:p w14:paraId="60A8093F" w14:textId="77777777" w:rsidR="00AF2672" w:rsidRPr="00217C2A" w:rsidRDefault="004602E1" w:rsidP="00BF4F70">
      <w:pPr>
        <w:autoSpaceDE w:val="0"/>
        <w:autoSpaceDN w:val="0"/>
        <w:ind w:left="360"/>
        <w:divId w:val="223873651"/>
        <w:rPr>
          <w:rFonts w:eastAsia="Times New Roman"/>
          <w:sz w:val="18"/>
          <w:szCs w:val="18"/>
        </w:rPr>
      </w:pPr>
      <w:r w:rsidRPr="00217C2A">
        <w:rPr>
          <w:rFonts w:eastAsia="Times New Roman" w:cstheme="minorHAnsi"/>
          <w:sz w:val="18"/>
          <w:szCs w:val="18"/>
        </w:rPr>
        <w:t>8</w:t>
      </w:r>
      <w:r w:rsidRPr="00217C2A">
        <w:rPr>
          <w:rFonts w:eastAsia="Times New Roman" w:cstheme="minorHAnsi"/>
          <w:sz w:val="18"/>
          <w:szCs w:val="18"/>
        </w:rPr>
        <w:tab/>
      </w:r>
      <w:r w:rsidR="00AF2672" w:rsidRPr="00217C2A">
        <w:rPr>
          <w:rFonts w:eastAsia="Times New Roman"/>
          <w:sz w:val="18"/>
          <w:szCs w:val="18"/>
        </w:rPr>
        <w:t xml:space="preserve">S. Bhattacharjee, </w:t>
      </w:r>
      <w:r w:rsidR="00AF2672" w:rsidRPr="00217C2A">
        <w:rPr>
          <w:rFonts w:eastAsia="Times New Roman"/>
          <w:i/>
          <w:iCs/>
          <w:sz w:val="18"/>
          <w:szCs w:val="18"/>
        </w:rPr>
        <w:t>Journal of Controlled Release</w:t>
      </w:r>
      <w:r w:rsidR="00AF2672" w:rsidRPr="00217C2A">
        <w:rPr>
          <w:rFonts w:eastAsia="Times New Roman"/>
          <w:sz w:val="18"/>
          <w:szCs w:val="18"/>
        </w:rPr>
        <w:t xml:space="preserve">, 2016, </w:t>
      </w:r>
      <w:r w:rsidR="00AF2672" w:rsidRPr="00217C2A">
        <w:rPr>
          <w:rFonts w:eastAsia="Times New Roman"/>
          <w:b/>
          <w:bCs/>
          <w:sz w:val="18"/>
          <w:szCs w:val="18"/>
        </w:rPr>
        <w:t>235</w:t>
      </w:r>
      <w:r w:rsidR="00AF2672" w:rsidRPr="00217C2A">
        <w:rPr>
          <w:rFonts w:eastAsia="Times New Roman"/>
          <w:sz w:val="18"/>
          <w:szCs w:val="18"/>
        </w:rPr>
        <w:t>, 337–351.</w:t>
      </w:r>
    </w:p>
    <w:p w14:paraId="165D786D" w14:textId="77236329" w:rsidR="004602E1" w:rsidRPr="00217C2A" w:rsidRDefault="008878EA" w:rsidP="00BF4F70">
      <w:pPr>
        <w:autoSpaceDE w:val="0"/>
        <w:autoSpaceDN w:val="0"/>
        <w:spacing w:beforeLines="120" w:before="288" w:afterLines="120" w:after="288" w:line="360" w:lineRule="auto"/>
        <w:ind w:left="360"/>
        <w:divId w:val="223873651"/>
        <w:rPr>
          <w:rFonts w:eastAsia="Times New Roman" w:cstheme="minorHAnsi"/>
          <w:sz w:val="18"/>
          <w:szCs w:val="18"/>
        </w:rPr>
      </w:pPr>
      <w:r w:rsidRPr="00217C2A">
        <w:rPr>
          <w:rFonts w:eastAsia="Times New Roman" w:cstheme="minorHAnsi"/>
          <w:sz w:val="18"/>
          <w:szCs w:val="18"/>
        </w:rPr>
        <w:t>9</w:t>
      </w:r>
      <w:r w:rsidRPr="00217C2A">
        <w:rPr>
          <w:rFonts w:eastAsia="Times New Roman" w:cstheme="minorHAnsi"/>
          <w:sz w:val="18"/>
          <w:szCs w:val="18"/>
        </w:rPr>
        <w:tab/>
      </w:r>
      <w:r w:rsidR="004602E1" w:rsidRPr="00217C2A">
        <w:rPr>
          <w:rFonts w:eastAsia="Times New Roman" w:cstheme="minorHAnsi"/>
          <w:sz w:val="18"/>
          <w:szCs w:val="18"/>
        </w:rPr>
        <w:t xml:space="preserve">E. Committee, S. Testing, C. Microbiology and I. D. Escmid, </w:t>
      </w:r>
      <w:r w:rsidR="004602E1" w:rsidRPr="00217C2A">
        <w:rPr>
          <w:rFonts w:eastAsia="Times New Roman" w:cstheme="minorHAnsi"/>
          <w:i/>
          <w:iCs/>
          <w:sz w:val="18"/>
          <w:szCs w:val="18"/>
        </w:rPr>
        <w:t>Clinical Microbiology and Infection</w:t>
      </w:r>
      <w:r w:rsidR="004602E1" w:rsidRPr="00217C2A">
        <w:rPr>
          <w:rFonts w:eastAsia="Times New Roman" w:cstheme="minorHAnsi"/>
          <w:sz w:val="18"/>
          <w:szCs w:val="18"/>
        </w:rPr>
        <w:t xml:space="preserve">, 2003, </w:t>
      </w:r>
      <w:r w:rsidR="004602E1" w:rsidRPr="00217C2A">
        <w:rPr>
          <w:rFonts w:eastAsia="Times New Roman" w:cstheme="minorHAnsi"/>
          <w:b/>
          <w:bCs/>
          <w:sz w:val="18"/>
          <w:szCs w:val="18"/>
        </w:rPr>
        <w:t>9</w:t>
      </w:r>
      <w:r w:rsidR="004602E1" w:rsidRPr="00217C2A">
        <w:rPr>
          <w:rFonts w:eastAsia="Times New Roman" w:cstheme="minorHAnsi"/>
          <w:sz w:val="18"/>
          <w:szCs w:val="18"/>
        </w:rPr>
        <w:t>, ix–xv.</w:t>
      </w:r>
    </w:p>
    <w:p w14:paraId="1AE1AF64" w14:textId="573EE35C" w:rsidR="004602E1" w:rsidRPr="00217C2A" w:rsidRDefault="008878EA" w:rsidP="00BF4F70">
      <w:pPr>
        <w:autoSpaceDE w:val="0"/>
        <w:autoSpaceDN w:val="0"/>
        <w:spacing w:beforeLines="120" w:before="288" w:afterLines="120" w:after="288" w:line="360" w:lineRule="auto"/>
        <w:ind w:left="360"/>
        <w:divId w:val="828406674"/>
        <w:rPr>
          <w:rFonts w:eastAsia="Times New Roman" w:cstheme="minorHAnsi"/>
          <w:sz w:val="18"/>
          <w:szCs w:val="18"/>
        </w:rPr>
      </w:pPr>
      <w:r w:rsidRPr="00217C2A">
        <w:rPr>
          <w:rFonts w:eastAsia="Times New Roman" w:cstheme="minorHAnsi"/>
          <w:sz w:val="18"/>
          <w:szCs w:val="18"/>
        </w:rPr>
        <w:t>10</w:t>
      </w:r>
      <w:r w:rsidR="004602E1" w:rsidRPr="00217C2A">
        <w:rPr>
          <w:rFonts w:eastAsia="Times New Roman" w:cstheme="minorHAnsi"/>
          <w:sz w:val="18"/>
          <w:szCs w:val="18"/>
        </w:rPr>
        <w:tab/>
        <w:t xml:space="preserve">I. Diseases, </w:t>
      </w:r>
      <w:r w:rsidR="004602E1" w:rsidRPr="00217C2A">
        <w:rPr>
          <w:rFonts w:eastAsia="Times New Roman" w:cstheme="minorHAnsi"/>
          <w:i/>
          <w:iCs/>
          <w:sz w:val="18"/>
          <w:szCs w:val="18"/>
        </w:rPr>
        <w:t>Clinical Microbiology and Infection</w:t>
      </w:r>
      <w:r w:rsidR="004602E1" w:rsidRPr="00217C2A">
        <w:rPr>
          <w:rFonts w:eastAsia="Times New Roman" w:cstheme="minorHAnsi"/>
          <w:sz w:val="18"/>
          <w:szCs w:val="18"/>
        </w:rPr>
        <w:t xml:space="preserve">, 2000, </w:t>
      </w:r>
      <w:r w:rsidR="004602E1" w:rsidRPr="00217C2A">
        <w:rPr>
          <w:rFonts w:eastAsia="Times New Roman" w:cstheme="minorHAnsi"/>
          <w:b/>
          <w:bCs/>
          <w:sz w:val="18"/>
          <w:szCs w:val="18"/>
        </w:rPr>
        <w:t>6</w:t>
      </w:r>
      <w:r w:rsidR="004602E1" w:rsidRPr="00217C2A">
        <w:rPr>
          <w:rFonts w:eastAsia="Times New Roman" w:cstheme="minorHAnsi"/>
          <w:sz w:val="18"/>
          <w:szCs w:val="18"/>
        </w:rPr>
        <w:t>, 503–508.</w:t>
      </w:r>
    </w:p>
    <w:p w14:paraId="5F1245E0" w14:textId="764C66E0" w:rsidR="004602E1" w:rsidRPr="00217C2A" w:rsidRDefault="004602E1" w:rsidP="00BF4F70">
      <w:pPr>
        <w:autoSpaceDE w:val="0"/>
        <w:autoSpaceDN w:val="0"/>
        <w:spacing w:beforeLines="120" w:before="288" w:afterLines="120" w:after="288" w:line="360" w:lineRule="auto"/>
        <w:ind w:left="360"/>
        <w:divId w:val="299531129"/>
        <w:rPr>
          <w:rFonts w:eastAsia="Times New Roman" w:cstheme="minorHAnsi"/>
          <w:sz w:val="18"/>
          <w:szCs w:val="18"/>
        </w:rPr>
      </w:pPr>
      <w:r w:rsidRPr="00217C2A">
        <w:rPr>
          <w:rFonts w:eastAsia="Times New Roman" w:cstheme="minorHAnsi"/>
          <w:sz w:val="18"/>
          <w:szCs w:val="18"/>
        </w:rPr>
        <w:t>1</w:t>
      </w:r>
      <w:r w:rsidR="008878EA" w:rsidRPr="00217C2A">
        <w:rPr>
          <w:rFonts w:eastAsia="Times New Roman" w:cstheme="minorHAnsi"/>
          <w:sz w:val="18"/>
          <w:szCs w:val="18"/>
        </w:rPr>
        <w:t>1</w:t>
      </w:r>
      <w:r w:rsidRPr="00217C2A">
        <w:rPr>
          <w:rFonts w:eastAsia="Times New Roman" w:cstheme="minorHAnsi"/>
          <w:sz w:val="18"/>
          <w:szCs w:val="18"/>
        </w:rPr>
        <w:tab/>
        <w:t xml:space="preserve">A. Saleh, Z. B. Akkuş-Daǧdeviren, S. Haddadzadegan, R. Wibel and A. Bernkop-Schnürch, </w:t>
      </w:r>
      <w:r w:rsidRPr="00217C2A">
        <w:rPr>
          <w:rFonts w:eastAsia="Times New Roman" w:cstheme="minorHAnsi"/>
          <w:i/>
          <w:iCs/>
          <w:sz w:val="18"/>
          <w:szCs w:val="18"/>
        </w:rPr>
        <w:t>Biomacromolecules</w:t>
      </w:r>
      <w:r w:rsidRPr="00217C2A">
        <w:rPr>
          <w:rFonts w:eastAsia="Times New Roman" w:cstheme="minorHAnsi"/>
          <w:sz w:val="18"/>
          <w:szCs w:val="18"/>
        </w:rPr>
        <w:t xml:space="preserve">, 2023, </w:t>
      </w:r>
      <w:r w:rsidRPr="00217C2A">
        <w:rPr>
          <w:rFonts w:eastAsia="Times New Roman" w:cstheme="minorHAnsi"/>
          <w:b/>
          <w:bCs/>
          <w:sz w:val="18"/>
          <w:szCs w:val="18"/>
        </w:rPr>
        <w:t>24</w:t>
      </w:r>
      <w:r w:rsidRPr="00217C2A">
        <w:rPr>
          <w:rFonts w:eastAsia="Times New Roman" w:cstheme="minorHAnsi"/>
          <w:sz w:val="18"/>
          <w:szCs w:val="18"/>
        </w:rPr>
        <w:t>, 2587–2595.</w:t>
      </w:r>
    </w:p>
    <w:p w14:paraId="5B0F8534" w14:textId="2EAF0B8B" w:rsidR="004602E1" w:rsidRPr="00217C2A" w:rsidRDefault="004602E1" w:rsidP="00BF4F70">
      <w:pPr>
        <w:autoSpaceDE w:val="0"/>
        <w:autoSpaceDN w:val="0"/>
        <w:spacing w:beforeLines="120" w:before="288" w:afterLines="120" w:after="288" w:line="360" w:lineRule="auto"/>
        <w:ind w:left="360"/>
        <w:divId w:val="175459494"/>
        <w:rPr>
          <w:rFonts w:eastAsia="Times New Roman" w:cstheme="minorHAnsi"/>
          <w:sz w:val="18"/>
          <w:szCs w:val="18"/>
        </w:rPr>
      </w:pPr>
      <w:r w:rsidRPr="00217C2A">
        <w:rPr>
          <w:rFonts w:eastAsia="Times New Roman" w:cstheme="minorHAnsi"/>
          <w:sz w:val="18"/>
          <w:szCs w:val="18"/>
        </w:rPr>
        <w:t>1</w:t>
      </w:r>
      <w:r w:rsidR="00FA2F86" w:rsidRPr="00217C2A">
        <w:rPr>
          <w:rFonts w:eastAsia="Times New Roman" w:cstheme="minorHAnsi"/>
          <w:sz w:val="18"/>
          <w:szCs w:val="18"/>
        </w:rPr>
        <w:t>2</w:t>
      </w:r>
      <w:r w:rsidRPr="00217C2A">
        <w:rPr>
          <w:rFonts w:eastAsia="Times New Roman" w:cstheme="minorHAnsi"/>
          <w:sz w:val="18"/>
          <w:szCs w:val="18"/>
        </w:rPr>
        <w:tab/>
        <w:t>C. Spiegel, M. Nogler and D. C. Coraça-huber, 2022, 1–10.</w:t>
      </w:r>
    </w:p>
    <w:p w14:paraId="7D760C21" w14:textId="616EE6D3" w:rsidR="004602E1" w:rsidRPr="00217C2A" w:rsidRDefault="004602E1" w:rsidP="00BF4F70">
      <w:pPr>
        <w:autoSpaceDE w:val="0"/>
        <w:autoSpaceDN w:val="0"/>
        <w:spacing w:beforeLines="120" w:before="288" w:afterLines="120" w:after="288" w:line="360" w:lineRule="auto"/>
        <w:ind w:left="360"/>
        <w:divId w:val="1860001599"/>
        <w:rPr>
          <w:rFonts w:eastAsia="Times New Roman" w:cstheme="minorHAnsi"/>
          <w:sz w:val="18"/>
          <w:szCs w:val="18"/>
        </w:rPr>
      </w:pPr>
      <w:r w:rsidRPr="00217C2A">
        <w:rPr>
          <w:rFonts w:eastAsia="Times New Roman" w:cstheme="minorHAnsi"/>
          <w:sz w:val="18"/>
          <w:szCs w:val="18"/>
        </w:rPr>
        <w:lastRenderedPageBreak/>
        <w:t>1</w:t>
      </w:r>
      <w:r w:rsidR="00DD0231" w:rsidRPr="00217C2A">
        <w:rPr>
          <w:rFonts w:eastAsia="Times New Roman" w:cstheme="minorHAnsi"/>
          <w:sz w:val="18"/>
          <w:szCs w:val="18"/>
        </w:rPr>
        <w:t>3</w:t>
      </w:r>
      <w:r w:rsidRPr="00217C2A">
        <w:rPr>
          <w:rFonts w:eastAsia="Times New Roman" w:cstheme="minorHAnsi"/>
          <w:sz w:val="18"/>
          <w:szCs w:val="18"/>
        </w:rPr>
        <w:tab/>
        <w:t xml:space="preserve">L. Knabl, B. Kuppelwieser, A. Mayr, W. Posch, M. Lackner, D. Coraҫa‐Huber, A. Danita, M. Blauth, C. Lass‐Flörl and D. Orth‐Höller, </w:t>
      </w:r>
      <w:r w:rsidRPr="00217C2A">
        <w:rPr>
          <w:rFonts w:eastAsia="Times New Roman" w:cstheme="minorHAnsi"/>
          <w:i/>
          <w:iCs/>
          <w:sz w:val="18"/>
          <w:szCs w:val="18"/>
        </w:rPr>
        <w:t>Microbiologyopen</w:t>
      </w:r>
      <w:r w:rsidRPr="00217C2A">
        <w:rPr>
          <w:rFonts w:eastAsia="Times New Roman" w:cstheme="minorHAnsi"/>
          <w:sz w:val="18"/>
          <w:szCs w:val="18"/>
        </w:rPr>
        <w:t xml:space="preserve">, 2019, </w:t>
      </w:r>
      <w:r w:rsidRPr="00217C2A">
        <w:rPr>
          <w:rFonts w:eastAsia="Times New Roman" w:cstheme="minorHAnsi"/>
          <w:b/>
          <w:bCs/>
          <w:sz w:val="18"/>
          <w:szCs w:val="18"/>
        </w:rPr>
        <w:t>8</w:t>
      </w:r>
      <w:r w:rsidRPr="00217C2A">
        <w:rPr>
          <w:rFonts w:eastAsia="Times New Roman" w:cstheme="minorHAnsi"/>
          <w:sz w:val="18"/>
          <w:szCs w:val="18"/>
        </w:rPr>
        <w:t>, e00658.</w:t>
      </w:r>
    </w:p>
    <w:p w14:paraId="3D3D0DF1" w14:textId="5318D214" w:rsidR="009A6C26" w:rsidRPr="00217C2A" w:rsidRDefault="009A6C26" w:rsidP="00BF4F70">
      <w:pPr>
        <w:autoSpaceDE w:val="0"/>
        <w:autoSpaceDN w:val="0"/>
        <w:spacing w:beforeLines="120" w:before="288" w:afterLines="120" w:after="288" w:line="360" w:lineRule="auto"/>
        <w:ind w:left="360"/>
        <w:divId w:val="1860001599"/>
        <w:rPr>
          <w:rFonts w:eastAsia="Times New Roman" w:cstheme="minorHAnsi"/>
          <w:sz w:val="18"/>
          <w:szCs w:val="18"/>
        </w:rPr>
      </w:pPr>
      <w:r w:rsidRPr="00217C2A">
        <w:rPr>
          <w:rFonts w:eastAsia="Times New Roman"/>
          <w:sz w:val="18"/>
          <w:szCs w:val="18"/>
        </w:rPr>
        <w:t>14</w:t>
      </w:r>
      <w:r w:rsidRPr="00217C2A">
        <w:rPr>
          <w:rFonts w:eastAsia="Times New Roman"/>
          <w:sz w:val="18"/>
          <w:szCs w:val="18"/>
        </w:rPr>
        <w:tab/>
        <w:t xml:space="preserve">S. Mourdikoudis, R. M. Pallares and N. T. K. Thanh, </w:t>
      </w:r>
      <w:r w:rsidRPr="00217C2A">
        <w:rPr>
          <w:rFonts w:eastAsia="Times New Roman"/>
          <w:i/>
          <w:iCs/>
          <w:sz w:val="18"/>
          <w:szCs w:val="18"/>
        </w:rPr>
        <w:t>Nanoscale</w:t>
      </w:r>
      <w:r w:rsidRPr="00217C2A">
        <w:rPr>
          <w:rFonts w:eastAsia="Times New Roman"/>
          <w:sz w:val="18"/>
          <w:szCs w:val="18"/>
        </w:rPr>
        <w:t xml:space="preserve">, 2018, </w:t>
      </w:r>
      <w:r w:rsidRPr="00217C2A">
        <w:rPr>
          <w:rFonts w:eastAsia="Times New Roman"/>
          <w:b/>
          <w:bCs/>
          <w:sz w:val="18"/>
          <w:szCs w:val="18"/>
        </w:rPr>
        <w:t>10</w:t>
      </w:r>
      <w:r w:rsidRPr="00217C2A">
        <w:rPr>
          <w:rFonts w:eastAsia="Times New Roman"/>
          <w:sz w:val="18"/>
          <w:szCs w:val="18"/>
        </w:rPr>
        <w:t>, 12871–12934.</w:t>
      </w:r>
    </w:p>
    <w:p w14:paraId="6F4E63B2" w14:textId="09FDCA59" w:rsidR="008A3CA2" w:rsidRPr="00217C2A" w:rsidRDefault="008A3CA2" w:rsidP="00BF4F70">
      <w:pPr>
        <w:autoSpaceDE w:val="0"/>
        <w:autoSpaceDN w:val="0"/>
        <w:spacing w:beforeLines="120" w:before="288" w:afterLines="120" w:after="288" w:line="360" w:lineRule="auto"/>
        <w:ind w:left="360"/>
        <w:divId w:val="1860001599"/>
        <w:rPr>
          <w:rFonts w:eastAsia="Times New Roman" w:cstheme="minorHAnsi"/>
          <w:sz w:val="18"/>
          <w:szCs w:val="18"/>
          <w:lang w:val="de-DE"/>
        </w:rPr>
      </w:pPr>
      <w:bookmarkStart w:id="17" w:name="_Hlk172106761"/>
      <w:bookmarkStart w:id="18" w:name="_Hlk171412272"/>
      <w:r w:rsidRPr="00217C2A">
        <w:rPr>
          <w:rFonts w:eastAsia="Times New Roman" w:cstheme="minorHAnsi"/>
          <w:sz w:val="18"/>
          <w:szCs w:val="18"/>
          <w:lang w:val="de-DE"/>
        </w:rPr>
        <w:t>1</w:t>
      </w:r>
      <w:r w:rsidR="000C5C65" w:rsidRPr="00217C2A">
        <w:rPr>
          <w:rFonts w:eastAsia="Times New Roman" w:cstheme="minorHAnsi"/>
          <w:sz w:val="18"/>
          <w:szCs w:val="18"/>
          <w:lang w:val="de-DE"/>
        </w:rPr>
        <w:t>5</w:t>
      </w:r>
      <w:r w:rsidRPr="00217C2A">
        <w:rPr>
          <w:rFonts w:eastAsia="Times New Roman" w:cstheme="minorHAnsi"/>
          <w:sz w:val="18"/>
          <w:szCs w:val="18"/>
          <w:lang w:val="de-DE"/>
        </w:rPr>
        <w:tab/>
        <w:t xml:space="preserve">B. Le‐Vinh, Z. B. Akkuş‐Dağdeviren, N. N. Le, I. Nazir and A. Bernkop‐Schnürch, </w:t>
      </w:r>
      <w:r w:rsidRPr="00217C2A">
        <w:rPr>
          <w:rFonts w:eastAsia="Times New Roman" w:cstheme="minorHAnsi"/>
          <w:i/>
          <w:iCs/>
          <w:sz w:val="18"/>
          <w:szCs w:val="18"/>
          <w:lang w:val="de-DE"/>
        </w:rPr>
        <w:t>Adv Ther (Weinh)</w:t>
      </w:r>
      <w:r w:rsidRPr="00217C2A">
        <w:rPr>
          <w:rFonts w:eastAsia="Times New Roman" w:cstheme="minorHAnsi"/>
          <w:sz w:val="18"/>
          <w:szCs w:val="18"/>
          <w:lang w:val="de-DE"/>
        </w:rPr>
        <w:t xml:space="preserve">, 2022, </w:t>
      </w:r>
      <w:r w:rsidRPr="00217C2A">
        <w:rPr>
          <w:rFonts w:eastAsia="Times New Roman" w:cstheme="minorHAnsi"/>
          <w:b/>
          <w:bCs/>
          <w:sz w:val="18"/>
          <w:szCs w:val="18"/>
          <w:lang w:val="de-DE"/>
        </w:rPr>
        <w:t>5</w:t>
      </w:r>
      <w:r w:rsidRPr="00217C2A">
        <w:rPr>
          <w:rFonts w:eastAsia="Times New Roman" w:cstheme="minorHAnsi"/>
          <w:sz w:val="18"/>
          <w:szCs w:val="18"/>
          <w:lang w:val="de-DE"/>
        </w:rPr>
        <w:t>, 2100219.</w:t>
      </w:r>
    </w:p>
    <w:p w14:paraId="6AF2DCC5" w14:textId="1BF66E3F" w:rsidR="00234A18" w:rsidRPr="00217C2A" w:rsidRDefault="00234A18" w:rsidP="00BF4F70">
      <w:pPr>
        <w:autoSpaceDE w:val="0"/>
        <w:autoSpaceDN w:val="0"/>
        <w:spacing w:beforeLines="120" w:before="288" w:afterLines="120" w:after="288" w:line="360" w:lineRule="auto"/>
        <w:ind w:left="360"/>
        <w:divId w:val="1860001599"/>
        <w:rPr>
          <w:rFonts w:eastAsia="Times New Roman" w:cstheme="minorHAnsi"/>
          <w:sz w:val="18"/>
          <w:szCs w:val="18"/>
          <w:lang w:val="de-DE"/>
        </w:rPr>
      </w:pPr>
      <w:bookmarkStart w:id="19" w:name="_Hlk172104209"/>
      <w:bookmarkEnd w:id="17"/>
      <w:r w:rsidRPr="00217C2A">
        <w:rPr>
          <w:rFonts w:eastAsia="Times New Roman" w:cstheme="minorHAnsi"/>
          <w:sz w:val="18"/>
          <w:szCs w:val="18"/>
          <w:lang w:val="de-DE"/>
        </w:rPr>
        <w:t>16</w:t>
      </w:r>
      <w:r w:rsidRPr="00217C2A">
        <w:rPr>
          <w:rFonts w:eastAsia="Times New Roman" w:cstheme="minorHAnsi"/>
          <w:sz w:val="18"/>
          <w:szCs w:val="18"/>
          <w:lang w:val="de-DE"/>
        </w:rPr>
        <w:tab/>
      </w:r>
      <w:r w:rsidRPr="00217C2A">
        <w:rPr>
          <w:rFonts w:eastAsia="Times New Roman"/>
          <w:sz w:val="18"/>
          <w:szCs w:val="18"/>
          <w:lang w:val="de-DE"/>
        </w:rPr>
        <w:t xml:space="preserve">S. Bonengel, F. Prüfert, G. Perera, J. Schauer and A. Bernkop-Schnürch, </w:t>
      </w:r>
      <w:r w:rsidRPr="00217C2A">
        <w:rPr>
          <w:rFonts w:eastAsia="Times New Roman"/>
          <w:i/>
          <w:iCs/>
          <w:sz w:val="18"/>
          <w:szCs w:val="18"/>
          <w:lang w:val="de-DE"/>
        </w:rPr>
        <w:t>Int J Pharm</w:t>
      </w:r>
      <w:r w:rsidRPr="00217C2A">
        <w:rPr>
          <w:rFonts w:eastAsia="Times New Roman"/>
          <w:sz w:val="18"/>
          <w:szCs w:val="18"/>
          <w:lang w:val="de-DE"/>
        </w:rPr>
        <w:t xml:space="preserve">, 2015, </w:t>
      </w:r>
      <w:r w:rsidRPr="00217C2A">
        <w:rPr>
          <w:rFonts w:eastAsia="Times New Roman"/>
          <w:b/>
          <w:bCs/>
          <w:sz w:val="18"/>
          <w:szCs w:val="18"/>
          <w:lang w:val="de-DE"/>
        </w:rPr>
        <w:t>483</w:t>
      </w:r>
      <w:r w:rsidRPr="00217C2A">
        <w:rPr>
          <w:rFonts w:eastAsia="Times New Roman"/>
          <w:sz w:val="18"/>
          <w:szCs w:val="18"/>
          <w:lang w:val="de-DE"/>
        </w:rPr>
        <w:t>, 19–25.</w:t>
      </w:r>
    </w:p>
    <w:bookmarkEnd w:id="18"/>
    <w:bookmarkEnd w:id="19"/>
    <w:p w14:paraId="7B2FF8AD" w14:textId="09D842C6" w:rsidR="00F43B1D" w:rsidRPr="00217C2A" w:rsidRDefault="00F43B1D" w:rsidP="00BF4F70">
      <w:pPr>
        <w:autoSpaceDE w:val="0"/>
        <w:autoSpaceDN w:val="0"/>
        <w:spacing w:beforeLines="120" w:before="288" w:afterLines="120" w:after="288" w:line="360" w:lineRule="auto"/>
        <w:ind w:left="360"/>
        <w:divId w:val="1522432645"/>
        <w:rPr>
          <w:rFonts w:eastAsia="Times New Roman"/>
          <w:sz w:val="18"/>
          <w:szCs w:val="18"/>
        </w:rPr>
      </w:pPr>
      <w:r w:rsidRPr="00217C2A">
        <w:rPr>
          <w:rFonts w:eastAsia="Times New Roman" w:cstheme="minorHAnsi"/>
          <w:sz w:val="18"/>
          <w:szCs w:val="18"/>
        </w:rPr>
        <w:t>1</w:t>
      </w:r>
      <w:r w:rsidR="00911AFC" w:rsidRPr="00217C2A">
        <w:rPr>
          <w:rFonts w:eastAsia="Times New Roman" w:cstheme="minorHAnsi"/>
          <w:sz w:val="18"/>
          <w:szCs w:val="18"/>
        </w:rPr>
        <w:t>7</w:t>
      </w:r>
      <w:r w:rsidRPr="00217C2A">
        <w:rPr>
          <w:rFonts w:eastAsia="Times New Roman" w:cstheme="minorHAnsi"/>
          <w:sz w:val="18"/>
          <w:szCs w:val="18"/>
        </w:rPr>
        <w:tab/>
      </w:r>
      <w:bookmarkStart w:id="20" w:name="_Hlk171697557"/>
      <w:r w:rsidRPr="00217C2A">
        <w:rPr>
          <w:rFonts w:eastAsia="Times New Roman"/>
          <w:sz w:val="18"/>
          <w:szCs w:val="18"/>
        </w:rPr>
        <w:t xml:space="preserve">M. C. Verdi, C. Melian, P. Castellano, G. Vignolo and M. Blanco Massani, </w:t>
      </w:r>
      <w:r w:rsidRPr="00217C2A">
        <w:rPr>
          <w:rFonts w:eastAsia="Times New Roman"/>
          <w:i/>
          <w:iCs/>
          <w:sz w:val="18"/>
          <w:szCs w:val="18"/>
        </w:rPr>
        <w:t>Int J Food Sci Technol</w:t>
      </w:r>
      <w:r w:rsidRPr="00217C2A">
        <w:rPr>
          <w:rFonts w:eastAsia="Times New Roman"/>
          <w:sz w:val="18"/>
          <w:szCs w:val="18"/>
        </w:rPr>
        <w:t xml:space="preserve">, 2020, </w:t>
      </w:r>
      <w:r w:rsidRPr="00217C2A">
        <w:rPr>
          <w:rFonts w:eastAsia="Times New Roman"/>
          <w:b/>
          <w:bCs/>
          <w:sz w:val="18"/>
          <w:szCs w:val="18"/>
        </w:rPr>
        <w:t>55</w:t>
      </w:r>
      <w:r w:rsidRPr="00217C2A">
        <w:rPr>
          <w:rFonts w:eastAsia="Times New Roman"/>
          <w:sz w:val="18"/>
          <w:szCs w:val="18"/>
        </w:rPr>
        <w:t>, 267–275.</w:t>
      </w:r>
      <w:bookmarkEnd w:id="20"/>
    </w:p>
    <w:p w14:paraId="03DDC214" w14:textId="614D6EBF" w:rsidR="007528BB" w:rsidRPr="00217C2A" w:rsidRDefault="007528BB" w:rsidP="00BF4F70">
      <w:pPr>
        <w:autoSpaceDE w:val="0"/>
        <w:autoSpaceDN w:val="0"/>
        <w:spacing w:beforeLines="120" w:before="288" w:afterLines="120" w:after="288" w:line="360" w:lineRule="auto"/>
        <w:ind w:left="360"/>
        <w:divId w:val="1522432645"/>
        <w:rPr>
          <w:rFonts w:eastAsia="Times New Roman" w:cstheme="minorHAnsi"/>
          <w:sz w:val="18"/>
          <w:szCs w:val="18"/>
        </w:rPr>
      </w:pPr>
      <w:r w:rsidRPr="00217C2A">
        <w:rPr>
          <w:rFonts w:eastAsia="Times New Roman" w:cstheme="minorHAnsi"/>
          <w:sz w:val="18"/>
          <w:szCs w:val="18"/>
        </w:rPr>
        <w:t>1</w:t>
      </w:r>
      <w:r w:rsidR="00911AFC" w:rsidRPr="00217C2A">
        <w:rPr>
          <w:rFonts w:eastAsia="Times New Roman" w:cstheme="minorHAnsi"/>
          <w:sz w:val="18"/>
          <w:szCs w:val="18"/>
        </w:rPr>
        <w:t>8</w:t>
      </w:r>
      <w:r w:rsidRPr="00217C2A">
        <w:rPr>
          <w:rFonts w:eastAsia="Times New Roman" w:cstheme="minorHAnsi"/>
          <w:sz w:val="18"/>
          <w:szCs w:val="18"/>
        </w:rPr>
        <w:tab/>
        <w:t xml:space="preserve">J. Azeredo, N. F. Azevedo, R. Briandet, N. Cerca, T. Coenye, A. R. Costa, M. Desvaux, G. Di Bonaventura, M. Hébraud, Z. Jaglic, M. Kačániová, S. Knøchel, A. Lourenço, F. Mergulhão, R. L. Meyer, G. Nychas, M. Simões, O. Tresse and C. Sternberg, </w:t>
      </w:r>
      <w:r w:rsidRPr="00217C2A">
        <w:rPr>
          <w:rFonts w:eastAsia="Times New Roman" w:cstheme="minorHAnsi"/>
          <w:i/>
          <w:iCs/>
          <w:sz w:val="18"/>
          <w:szCs w:val="18"/>
        </w:rPr>
        <w:t>Critical Reviews in Microbiology</w:t>
      </w:r>
      <w:r w:rsidRPr="00217C2A">
        <w:rPr>
          <w:rFonts w:eastAsia="Times New Roman" w:cstheme="minorHAnsi"/>
          <w:sz w:val="18"/>
          <w:szCs w:val="18"/>
        </w:rPr>
        <w:t xml:space="preserve">, 2017, </w:t>
      </w:r>
      <w:r w:rsidRPr="00217C2A">
        <w:rPr>
          <w:rFonts w:eastAsia="Times New Roman" w:cstheme="minorHAnsi"/>
          <w:b/>
          <w:bCs/>
          <w:sz w:val="18"/>
          <w:szCs w:val="18"/>
        </w:rPr>
        <w:t>43</w:t>
      </w:r>
      <w:r w:rsidRPr="00217C2A">
        <w:rPr>
          <w:rFonts w:eastAsia="Times New Roman" w:cstheme="minorHAnsi"/>
          <w:sz w:val="18"/>
          <w:szCs w:val="18"/>
        </w:rPr>
        <w:t>, 313–351.</w:t>
      </w:r>
    </w:p>
    <w:p w14:paraId="0F88ABDD" w14:textId="24135693" w:rsidR="00580760" w:rsidRPr="00217C2A" w:rsidRDefault="004602E1" w:rsidP="00BF4F70">
      <w:pPr>
        <w:autoSpaceDE w:val="0"/>
        <w:autoSpaceDN w:val="0"/>
        <w:spacing w:beforeLines="120" w:before="288" w:afterLines="120" w:after="288" w:line="360" w:lineRule="auto"/>
        <w:ind w:left="360" w:firstLine="633"/>
        <w:rPr>
          <w:rFonts w:cstheme="minorHAnsi"/>
          <w:sz w:val="18"/>
          <w:szCs w:val="18"/>
        </w:rPr>
      </w:pPr>
      <w:r w:rsidRPr="00217C2A">
        <w:rPr>
          <w:rFonts w:eastAsia="Times New Roman" w:cstheme="minorHAnsi"/>
          <w:sz w:val="18"/>
          <w:szCs w:val="18"/>
        </w:rPr>
        <w:t>1</w:t>
      </w:r>
      <w:r w:rsidR="001D3358" w:rsidRPr="00217C2A">
        <w:rPr>
          <w:rFonts w:eastAsia="Times New Roman" w:cstheme="minorHAnsi"/>
          <w:sz w:val="18"/>
          <w:szCs w:val="18"/>
        </w:rPr>
        <w:t>9</w:t>
      </w:r>
      <w:r w:rsidRPr="00217C2A">
        <w:rPr>
          <w:rFonts w:eastAsia="Times New Roman" w:cstheme="minorHAnsi"/>
          <w:sz w:val="18"/>
          <w:szCs w:val="18"/>
        </w:rPr>
        <w:tab/>
        <w:t xml:space="preserve">L. Foulston, A. K. W. Elsholz, A. S. Defrancesco and R. Losick, 2014, </w:t>
      </w:r>
      <w:r w:rsidRPr="00217C2A">
        <w:rPr>
          <w:rFonts w:eastAsia="Times New Roman" w:cstheme="minorHAnsi"/>
          <w:b/>
          <w:bCs/>
          <w:sz w:val="18"/>
          <w:szCs w:val="18"/>
        </w:rPr>
        <w:t>5</w:t>
      </w:r>
      <w:r w:rsidRPr="00217C2A">
        <w:rPr>
          <w:rFonts w:eastAsia="Times New Roman" w:cstheme="minorHAnsi"/>
          <w:sz w:val="18"/>
          <w:szCs w:val="18"/>
        </w:rPr>
        <w:t>, 1–9.</w:t>
      </w:r>
    </w:p>
    <w:sectPr w:rsidR="00580760" w:rsidRPr="00217C2A" w:rsidSect="00DB373D">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60D92" w14:textId="77777777" w:rsidR="00785373" w:rsidRDefault="00785373" w:rsidP="00937729">
      <w:pPr>
        <w:spacing w:after="0" w:line="240" w:lineRule="auto"/>
      </w:pPr>
      <w:r>
        <w:separator/>
      </w:r>
    </w:p>
  </w:endnote>
  <w:endnote w:type="continuationSeparator" w:id="0">
    <w:p w14:paraId="3D584F60" w14:textId="77777777" w:rsidR="00785373" w:rsidRDefault="00785373" w:rsidP="0093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1374848"/>
      <w:docPartObj>
        <w:docPartGallery w:val="Page Numbers (Bottom of Page)"/>
        <w:docPartUnique/>
      </w:docPartObj>
    </w:sdtPr>
    <w:sdtEndPr>
      <w:rPr>
        <w:noProof/>
      </w:rPr>
    </w:sdtEndPr>
    <w:sdtContent>
      <w:p w14:paraId="23B5E3BC" w14:textId="77777777" w:rsidR="00580760" w:rsidRDefault="005807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EE5C18" w14:textId="77777777" w:rsidR="00580760" w:rsidRDefault="00580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2283114"/>
      <w:docPartObj>
        <w:docPartGallery w:val="Page Numbers (Bottom of Page)"/>
        <w:docPartUnique/>
      </w:docPartObj>
    </w:sdtPr>
    <w:sdtEndPr>
      <w:rPr>
        <w:noProof/>
      </w:rPr>
    </w:sdtEndPr>
    <w:sdtContent>
      <w:p w14:paraId="095ED897" w14:textId="2C331521" w:rsidR="00937729" w:rsidRDefault="009377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FB8F6E" w14:textId="77777777" w:rsidR="00937729" w:rsidRDefault="00937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54A54" w14:textId="77777777" w:rsidR="00785373" w:rsidRDefault="00785373" w:rsidP="00937729">
      <w:pPr>
        <w:spacing w:after="0" w:line="240" w:lineRule="auto"/>
      </w:pPr>
      <w:r>
        <w:separator/>
      </w:r>
    </w:p>
  </w:footnote>
  <w:footnote w:type="continuationSeparator" w:id="0">
    <w:p w14:paraId="6300FE6A" w14:textId="77777777" w:rsidR="00785373" w:rsidRDefault="00785373" w:rsidP="00937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09E05" w14:textId="77777777" w:rsidR="00580760" w:rsidRDefault="00580760" w:rsidP="00937729">
    <w:pPr>
      <w:pStyle w:val="Header"/>
      <w:jc w:val="right"/>
    </w:pPr>
  </w:p>
  <w:p w14:paraId="7F8AE2F4" w14:textId="77777777" w:rsidR="00580760" w:rsidRDefault="00580760" w:rsidP="0093772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8C428" w14:textId="125D0415" w:rsidR="00937729" w:rsidRDefault="00937729" w:rsidP="00937729">
    <w:pPr>
      <w:pStyle w:val="Header"/>
      <w:jc w:val="right"/>
    </w:pPr>
  </w:p>
  <w:p w14:paraId="48A05E8E" w14:textId="77777777" w:rsidR="00937729" w:rsidRDefault="00937729" w:rsidP="0093772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A5AD7"/>
    <w:multiLevelType w:val="multilevel"/>
    <w:tmpl w:val="5DF87DAE"/>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520F5880"/>
    <w:multiLevelType w:val="hybridMultilevel"/>
    <w:tmpl w:val="03E265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40C2154"/>
    <w:multiLevelType w:val="multilevel"/>
    <w:tmpl w:val="DE7E49AC"/>
    <w:lvl w:ilvl="0">
      <w:start w:val="1"/>
      <w:numFmt w:val="decimal"/>
      <w:lvlText w:val="%1."/>
      <w:lvlJc w:val="left"/>
      <w:pPr>
        <w:ind w:left="720" w:hanging="360"/>
      </w:pPr>
      <w:rPr>
        <w:rFonts w:hint="default"/>
        <w:b/>
        <w:i w:val="0"/>
      </w:rPr>
    </w:lvl>
    <w:lvl w:ilvl="1">
      <w:start w:val="2"/>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58DB1FB2"/>
    <w:multiLevelType w:val="hybridMultilevel"/>
    <w:tmpl w:val="0E16C1D2"/>
    <w:lvl w:ilvl="0" w:tplc="111E2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F26AEB"/>
    <w:multiLevelType w:val="multilevel"/>
    <w:tmpl w:val="06C06F66"/>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1704F8E"/>
    <w:multiLevelType w:val="hybridMultilevel"/>
    <w:tmpl w:val="84E81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2754B1"/>
    <w:multiLevelType w:val="hybridMultilevel"/>
    <w:tmpl w:val="98822322"/>
    <w:lvl w:ilvl="0" w:tplc="1D56CD64">
      <w:start w:val="1"/>
      <w:numFmt w:val="decimal"/>
      <w:lvlText w:val="2.%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6220042">
    <w:abstractNumId w:val="0"/>
  </w:num>
  <w:num w:numId="2" w16cid:durableId="391346146">
    <w:abstractNumId w:val="5"/>
  </w:num>
  <w:num w:numId="3" w16cid:durableId="192111625">
    <w:abstractNumId w:val="4"/>
  </w:num>
  <w:num w:numId="4" w16cid:durableId="1616860627">
    <w:abstractNumId w:val="3"/>
  </w:num>
  <w:num w:numId="5" w16cid:durableId="1470712338">
    <w:abstractNumId w:val="2"/>
  </w:num>
  <w:num w:numId="6" w16cid:durableId="1939824699">
    <w:abstractNumId w:val="6"/>
  </w:num>
  <w:num w:numId="7" w16cid:durableId="1009723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E0"/>
    <w:rsid w:val="0000211D"/>
    <w:rsid w:val="00003167"/>
    <w:rsid w:val="000038B0"/>
    <w:rsid w:val="00005C73"/>
    <w:rsid w:val="00032234"/>
    <w:rsid w:val="0004458C"/>
    <w:rsid w:val="00050454"/>
    <w:rsid w:val="00053691"/>
    <w:rsid w:val="00053DD1"/>
    <w:rsid w:val="0006101D"/>
    <w:rsid w:val="000610B9"/>
    <w:rsid w:val="000725F5"/>
    <w:rsid w:val="000861A2"/>
    <w:rsid w:val="000B58D5"/>
    <w:rsid w:val="000C5633"/>
    <w:rsid w:val="000C5C65"/>
    <w:rsid w:val="000C7589"/>
    <w:rsid w:val="000D4376"/>
    <w:rsid w:val="000E50F1"/>
    <w:rsid w:val="000F1660"/>
    <w:rsid w:val="000F3811"/>
    <w:rsid w:val="000F5A00"/>
    <w:rsid w:val="000F752C"/>
    <w:rsid w:val="001140B0"/>
    <w:rsid w:val="001268D8"/>
    <w:rsid w:val="001300DC"/>
    <w:rsid w:val="001334D5"/>
    <w:rsid w:val="00137700"/>
    <w:rsid w:val="00146FA8"/>
    <w:rsid w:val="0015131E"/>
    <w:rsid w:val="00152681"/>
    <w:rsid w:val="00171457"/>
    <w:rsid w:val="00174300"/>
    <w:rsid w:val="001766C7"/>
    <w:rsid w:val="00176A3E"/>
    <w:rsid w:val="00181DCC"/>
    <w:rsid w:val="001A00E7"/>
    <w:rsid w:val="001A41E0"/>
    <w:rsid w:val="001B6DF6"/>
    <w:rsid w:val="001B71B9"/>
    <w:rsid w:val="001C4BE0"/>
    <w:rsid w:val="001D3358"/>
    <w:rsid w:val="001D4806"/>
    <w:rsid w:val="001D6FCE"/>
    <w:rsid w:val="001E4A3C"/>
    <w:rsid w:val="002040C2"/>
    <w:rsid w:val="00215A17"/>
    <w:rsid w:val="00216852"/>
    <w:rsid w:val="00217C2A"/>
    <w:rsid w:val="002255CA"/>
    <w:rsid w:val="00232543"/>
    <w:rsid w:val="0023311C"/>
    <w:rsid w:val="00234A18"/>
    <w:rsid w:val="002352F2"/>
    <w:rsid w:val="00244FB3"/>
    <w:rsid w:val="00251B67"/>
    <w:rsid w:val="00252B1A"/>
    <w:rsid w:val="00261ACA"/>
    <w:rsid w:val="0027327F"/>
    <w:rsid w:val="00273527"/>
    <w:rsid w:val="002741C7"/>
    <w:rsid w:val="00282372"/>
    <w:rsid w:val="002A383E"/>
    <w:rsid w:val="002A5B90"/>
    <w:rsid w:val="002B070B"/>
    <w:rsid w:val="002C6F30"/>
    <w:rsid w:val="002D2538"/>
    <w:rsid w:val="002D704F"/>
    <w:rsid w:val="002E59C6"/>
    <w:rsid w:val="002F1789"/>
    <w:rsid w:val="003055ED"/>
    <w:rsid w:val="00316BC5"/>
    <w:rsid w:val="00317B90"/>
    <w:rsid w:val="00336DB1"/>
    <w:rsid w:val="0033766C"/>
    <w:rsid w:val="003419F7"/>
    <w:rsid w:val="00345D2C"/>
    <w:rsid w:val="003568A2"/>
    <w:rsid w:val="00356DF7"/>
    <w:rsid w:val="00363358"/>
    <w:rsid w:val="00375832"/>
    <w:rsid w:val="00397549"/>
    <w:rsid w:val="003A3D5F"/>
    <w:rsid w:val="003B02C8"/>
    <w:rsid w:val="003C037E"/>
    <w:rsid w:val="003C32F7"/>
    <w:rsid w:val="003C5161"/>
    <w:rsid w:val="003C706C"/>
    <w:rsid w:val="003E6F02"/>
    <w:rsid w:val="003F52D9"/>
    <w:rsid w:val="004049E7"/>
    <w:rsid w:val="0041288F"/>
    <w:rsid w:val="00413306"/>
    <w:rsid w:val="0043543E"/>
    <w:rsid w:val="004357E7"/>
    <w:rsid w:val="00445025"/>
    <w:rsid w:val="00452949"/>
    <w:rsid w:val="004602E1"/>
    <w:rsid w:val="00462757"/>
    <w:rsid w:val="00463A2C"/>
    <w:rsid w:val="0047355B"/>
    <w:rsid w:val="0047533C"/>
    <w:rsid w:val="004770F4"/>
    <w:rsid w:val="004821AD"/>
    <w:rsid w:val="004937FA"/>
    <w:rsid w:val="004A1427"/>
    <w:rsid w:val="004B14EA"/>
    <w:rsid w:val="004C3846"/>
    <w:rsid w:val="004D387F"/>
    <w:rsid w:val="004E71C0"/>
    <w:rsid w:val="00502384"/>
    <w:rsid w:val="00514AAB"/>
    <w:rsid w:val="0051640D"/>
    <w:rsid w:val="005201DC"/>
    <w:rsid w:val="005217FB"/>
    <w:rsid w:val="005348EB"/>
    <w:rsid w:val="00540385"/>
    <w:rsid w:val="00542E41"/>
    <w:rsid w:val="00547EAE"/>
    <w:rsid w:val="00554A42"/>
    <w:rsid w:val="00565641"/>
    <w:rsid w:val="005730BE"/>
    <w:rsid w:val="00580760"/>
    <w:rsid w:val="0058160E"/>
    <w:rsid w:val="00595FC4"/>
    <w:rsid w:val="005A1F6F"/>
    <w:rsid w:val="005A4251"/>
    <w:rsid w:val="005A4965"/>
    <w:rsid w:val="005A509E"/>
    <w:rsid w:val="005A584D"/>
    <w:rsid w:val="005B0F1B"/>
    <w:rsid w:val="005C107C"/>
    <w:rsid w:val="005C7578"/>
    <w:rsid w:val="005D2CD5"/>
    <w:rsid w:val="005E167B"/>
    <w:rsid w:val="005E5F68"/>
    <w:rsid w:val="005E6379"/>
    <w:rsid w:val="005F54F8"/>
    <w:rsid w:val="00604C76"/>
    <w:rsid w:val="00612411"/>
    <w:rsid w:val="0061511C"/>
    <w:rsid w:val="00621204"/>
    <w:rsid w:val="00630D93"/>
    <w:rsid w:val="00646D9F"/>
    <w:rsid w:val="00651183"/>
    <w:rsid w:val="00653FC2"/>
    <w:rsid w:val="006605FB"/>
    <w:rsid w:val="006615E1"/>
    <w:rsid w:val="00661873"/>
    <w:rsid w:val="00680772"/>
    <w:rsid w:val="0068088C"/>
    <w:rsid w:val="00681DDC"/>
    <w:rsid w:val="0069216E"/>
    <w:rsid w:val="006B15DE"/>
    <w:rsid w:val="006B5392"/>
    <w:rsid w:val="006C4000"/>
    <w:rsid w:val="006C50F4"/>
    <w:rsid w:val="006D0499"/>
    <w:rsid w:val="006E6155"/>
    <w:rsid w:val="00711E61"/>
    <w:rsid w:val="00721B38"/>
    <w:rsid w:val="00731E44"/>
    <w:rsid w:val="007322C6"/>
    <w:rsid w:val="00733FE0"/>
    <w:rsid w:val="007367EF"/>
    <w:rsid w:val="007439DC"/>
    <w:rsid w:val="00746DE0"/>
    <w:rsid w:val="007528BB"/>
    <w:rsid w:val="00755510"/>
    <w:rsid w:val="00761649"/>
    <w:rsid w:val="00774541"/>
    <w:rsid w:val="00775242"/>
    <w:rsid w:val="00783048"/>
    <w:rsid w:val="00785373"/>
    <w:rsid w:val="00787F65"/>
    <w:rsid w:val="007957C7"/>
    <w:rsid w:val="00796816"/>
    <w:rsid w:val="007A3503"/>
    <w:rsid w:val="007A7511"/>
    <w:rsid w:val="007B1700"/>
    <w:rsid w:val="007B3151"/>
    <w:rsid w:val="007B401A"/>
    <w:rsid w:val="007B4ADC"/>
    <w:rsid w:val="007B5C0D"/>
    <w:rsid w:val="007C446B"/>
    <w:rsid w:val="007C6A05"/>
    <w:rsid w:val="007D21B3"/>
    <w:rsid w:val="007F501D"/>
    <w:rsid w:val="007F72D1"/>
    <w:rsid w:val="008037F3"/>
    <w:rsid w:val="00804960"/>
    <w:rsid w:val="00805A3D"/>
    <w:rsid w:val="0083578D"/>
    <w:rsid w:val="00835B23"/>
    <w:rsid w:val="008408C5"/>
    <w:rsid w:val="00854AC5"/>
    <w:rsid w:val="0086139B"/>
    <w:rsid w:val="00866963"/>
    <w:rsid w:val="00876519"/>
    <w:rsid w:val="00877BC2"/>
    <w:rsid w:val="00881E55"/>
    <w:rsid w:val="00883538"/>
    <w:rsid w:val="008878EA"/>
    <w:rsid w:val="0089064F"/>
    <w:rsid w:val="008953F0"/>
    <w:rsid w:val="008A2B15"/>
    <w:rsid w:val="008A3CA2"/>
    <w:rsid w:val="008A4344"/>
    <w:rsid w:val="008B179D"/>
    <w:rsid w:val="008B3726"/>
    <w:rsid w:val="008B7DB9"/>
    <w:rsid w:val="008C3CE2"/>
    <w:rsid w:val="008C5192"/>
    <w:rsid w:val="008C7C1D"/>
    <w:rsid w:val="008E5E21"/>
    <w:rsid w:val="008E7E84"/>
    <w:rsid w:val="008F2E1D"/>
    <w:rsid w:val="008F6424"/>
    <w:rsid w:val="00911AFC"/>
    <w:rsid w:val="00914330"/>
    <w:rsid w:val="0092130C"/>
    <w:rsid w:val="00925D48"/>
    <w:rsid w:val="009312E2"/>
    <w:rsid w:val="00932D7D"/>
    <w:rsid w:val="00934B3F"/>
    <w:rsid w:val="00935148"/>
    <w:rsid w:val="00937729"/>
    <w:rsid w:val="00940740"/>
    <w:rsid w:val="0095072B"/>
    <w:rsid w:val="0095149B"/>
    <w:rsid w:val="00951941"/>
    <w:rsid w:val="00954A09"/>
    <w:rsid w:val="00956694"/>
    <w:rsid w:val="009611FB"/>
    <w:rsid w:val="00976417"/>
    <w:rsid w:val="00982B06"/>
    <w:rsid w:val="00984B82"/>
    <w:rsid w:val="0098794B"/>
    <w:rsid w:val="00992CD1"/>
    <w:rsid w:val="009A239A"/>
    <w:rsid w:val="009A24C9"/>
    <w:rsid w:val="009A6C26"/>
    <w:rsid w:val="009B4573"/>
    <w:rsid w:val="009C36A2"/>
    <w:rsid w:val="009D12C7"/>
    <w:rsid w:val="009D2BA9"/>
    <w:rsid w:val="009F54FC"/>
    <w:rsid w:val="009F7B69"/>
    <w:rsid w:val="00A008F5"/>
    <w:rsid w:val="00A028FD"/>
    <w:rsid w:val="00A033D7"/>
    <w:rsid w:val="00A047AD"/>
    <w:rsid w:val="00A10505"/>
    <w:rsid w:val="00A51D7A"/>
    <w:rsid w:val="00A543D3"/>
    <w:rsid w:val="00A5481D"/>
    <w:rsid w:val="00A775C8"/>
    <w:rsid w:val="00A860B4"/>
    <w:rsid w:val="00AA1A71"/>
    <w:rsid w:val="00AA6596"/>
    <w:rsid w:val="00AA71DC"/>
    <w:rsid w:val="00AC1FCD"/>
    <w:rsid w:val="00AC2B0B"/>
    <w:rsid w:val="00AC5C86"/>
    <w:rsid w:val="00AD4F95"/>
    <w:rsid w:val="00AE55A8"/>
    <w:rsid w:val="00AE7597"/>
    <w:rsid w:val="00AF2672"/>
    <w:rsid w:val="00AF41DE"/>
    <w:rsid w:val="00AF601C"/>
    <w:rsid w:val="00B02624"/>
    <w:rsid w:val="00B07B7E"/>
    <w:rsid w:val="00B1619A"/>
    <w:rsid w:val="00B17EC0"/>
    <w:rsid w:val="00B372DD"/>
    <w:rsid w:val="00B37BA3"/>
    <w:rsid w:val="00B41214"/>
    <w:rsid w:val="00B54A2D"/>
    <w:rsid w:val="00B56C6C"/>
    <w:rsid w:val="00B61515"/>
    <w:rsid w:val="00B628C1"/>
    <w:rsid w:val="00B63A30"/>
    <w:rsid w:val="00B701BF"/>
    <w:rsid w:val="00B71A41"/>
    <w:rsid w:val="00B77BD4"/>
    <w:rsid w:val="00B85C1F"/>
    <w:rsid w:val="00B969E4"/>
    <w:rsid w:val="00BA01F0"/>
    <w:rsid w:val="00BA2339"/>
    <w:rsid w:val="00BA7BBD"/>
    <w:rsid w:val="00BB1AF3"/>
    <w:rsid w:val="00BB7150"/>
    <w:rsid w:val="00BC31B7"/>
    <w:rsid w:val="00BC6BD5"/>
    <w:rsid w:val="00BD1240"/>
    <w:rsid w:val="00BD24C4"/>
    <w:rsid w:val="00BE79E6"/>
    <w:rsid w:val="00BF1E8E"/>
    <w:rsid w:val="00BF3EC3"/>
    <w:rsid w:val="00BF4F70"/>
    <w:rsid w:val="00C02B1E"/>
    <w:rsid w:val="00C07CE7"/>
    <w:rsid w:val="00C1193C"/>
    <w:rsid w:val="00C24B42"/>
    <w:rsid w:val="00C2687A"/>
    <w:rsid w:val="00C2743B"/>
    <w:rsid w:val="00C31E6E"/>
    <w:rsid w:val="00C357A1"/>
    <w:rsid w:val="00C365D2"/>
    <w:rsid w:val="00C52E91"/>
    <w:rsid w:val="00C5333D"/>
    <w:rsid w:val="00C558F8"/>
    <w:rsid w:val="00C6318E"/>
    <w:rsid w:val="00C64D8C"/>
    <w:rsid w:val="00C66C9F"/>
    <w:rsid w:val="00C72D7D"/>
    <w:rsid w:val="00C76940"/>
    <w:rsid w:val="00C87760"/>
    <w:rsid w:val="00C92AD3"/>
    <w:rsid w:val="00C92D46"/>
    <w:rsid w:val="00C93C6A"/>
    <w:rsid w:val="00C96EAD"/>
    <w:rsid w:val="00CA27B5"/>
    <w:rsid w:val="00CB3DB1"/>
    <w:rsid w:val="00CB58D5"/>
    <w:rsid w:val="00CB5D71"/>
    <w:rsid w:val="00CB7CE6"/>
    <w:rsid w:val="00CC0A07"/>
    <w:rsid w:val="00CC7609"/>
    <w:rsid w:val="00CD3311"/>
    <w:rsid w:val="00CD42A4"/>
    <w:rsid w:val="00CD561C"/>
    <w:rsid w:val="00CE151D"/>
    <w:rsid w:val="00CE5529"/>
    <w:rsid w:val="00CE6971"/>
    <w:rsid w:val="00D01EF9"/>
    <w:rsid w:val="00D03B5D"/>
    <w:rsid w:val="00D1308E"/>
    <w:rsid w:val="00D23431"/>
    <w:rsid w:val="00D26B0C"/>
    <w:rsid w:val="00D303A0"/>
    <w:rsid w:val="00D4104F"/>
    <w:rsid w:val="00D42673"/>
    <w:rsid w:val="00D55227"/>
    <w:rsid w:val="00D57ED0"/>
    <w:rsid w:val="00D61ABB"/>
    <w:rsid w:val="00D97D7F"/>
    <w:rsid w:val="00DA7259"/>
    <w:rsid w:val="00DB373D"/>
    <w:rsid w:val="00DB7AD1"/>
    <w:rsid w:val="00DC2981"/>
    <w:rsid w:val="00DD0231"/>
    <w:rsid w:val="00DD0C84"/>
    <w:rsid w:val="00DF5D07"/>
    <w:rsid w:val="00E02A91"/>
    <w:rsid w:val="00E126BC"/>
    <w:rsid w:val="00E12AF5"/>
    <w:rsid w:val="00E21BC1"/>
    <w:rsid w:val="00E21DB6"/>
    <w:rsid w:val="00E23738"/>
    <w:rsid w:val="00E374C1"/>
    <w:rsid w:val="00E447A3"/>
    <w:rsid w:val="00E44899"/>
    <w:rsid w:val="00E6612A"/>
    <w:rsid w:val="00E938D0"/>
    <w:rsid w:val="00E96608"/>
    <w:rsid w:val="00EA1AE4"/>
    <w:rsid w:val="00EA1C6E"/>
    <w:rsid w:val="00EA2D35"/>
    <w:rsid w:val="00EB0325"/>
    <w:rsid w:val="00EC4015"/>
    <w:rsid w:val="00EC4623"/>
    <w:rsid w:val="00ED6BB3"/>
    <w:rsid w:val="00EE25E3"/>
    <w:rsid w:val="00F12A59"/>
    <w:rsid w:val="00F14496"/>
    <w:rsid w:val="00F343E0"/>
    <w:rsid w:val="00F43B1D"/>
    <w:rsid w:val="00F45FE2"/>
    <w:rsid w:val="00F6033A"/>
    <w:rsid w:val="00F6471B"/>
    <w:rsid w:val="00F666CA"/>
    <w:rsid w:val="00F71AE6"/>
    <w:rsid w:val="00F82507"/>
    <w:rsid w:val="00F97D91"/>
    <w:rsid w:val="00FA017E"/>
    <w:rsid w:val="00FA2A9E"/>
    <w:rsid w:val="00FA2F86"/>
    <w:rsid w:val="00FA60EE"/>
    <w:rsid w:val="00FB177A"/>
    <w:rsid w:val="00FB585D"/>
    <w:rsid w:val="00FB620E"/>
    <w:rsid w:val="00FC0816"/>
    <w:rsid w:val="00FD16A4"/>
    <w:rsid w:val="00FE0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F9FE9"/>
  <w15:chartTrackingRefBased/>
  <w15:docId w15:val="{4C0541B2-7E67-430B-86FA-788C7838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FE0"/>
    <w:rPr>
      <w:kern w:val="0"/>
      <w14:ligatures w14:val="none"/>
    </w:rPr>
  </w:style>
  <w:style w:type="paragraph" w:styleId="Heading1">
    <w:name w:val="heading 1"/>
    <w:basedOn w:val="Normal"/>
    <w:next w:val="Normal"/>
    <w:link w:val="Heading1Char"/>
    <w:uiPriority w:val="9"/>
    <w:qFormat/>
    <w:rsid w:val="000C56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B6D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3FE0"/>
    <w:rPr>
      <w:b/>
      <w:bCs/>
    </w:rPr>
  </w:style>
  <w:style w:type="paragraph" w:customStyle="1" w:styleId="Default">
    <w:name w:val="Default"/>
    <w:rsid w:val="00733FE0"/>
    <w:pPr>
      <w:autoSpaceDE w:val="0"/>
      <w:autoSpaceDN w:val="0"/>
      <w:adjustRightInd w:val="0"/>
      <w:spacing w:after="0" w:line="240" w:lineRule="auto"/>
    </w:pPr>
    <w:rPr>
      <w:rFonts w:ascii="Segoe UI" w:hAnsi="Segoe UI" w:cs="Segoe UI"/>
      <w:color w:val="000000"/>
      <w:kern w:val="0"/>
      <w:sz w:val="24"/>
      <w:szCs w:val="24"/>
      <w14:ligatures w14:val="none"/>
    </w:rPr>
  </w:style>
  <w:style w:type="table" w:styleId="TableGrid">
    <w:name w:val="Table Grid"/>
    <w:basedOn w:val="TableNormal"/>
    <w:uiPriority w:val="39"/>
    <w:rsid w:val="00733F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4A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B6DF6"/>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D4104F"/>
    <w:rPr>
      <w:sz w:val="16"/>
      <w:szCs w:val="16"/>
    </w:rPr>
  </w:style>
  <w:style w:type="paragraph" w:styleId="CommentText">
    <w:name w:val="annotation text"/>
    <w:basedOn w:val="Normal"/>
    <w:link w:val="CommentTextChar"/>
    <w:uiPriority w:val="99"/>
    <w:semiHidden/>
    <w:unhideWhenUsed/>
    <w:rsid w:val="00D4104F"/>
    <w:pPr>
      <w:spacing w:line="240" w:lineRule="auto"/>
    </w:pPr>
    <w:rPr>
      <w:sz w:val="20"/>
      <w:szCs w:val="20"/>
    </w:rPr>
  </w:style>
  <w:style w:type="character" w:customStyle="1" w:styleId="CommentTextChar">
    <w:name w:val="Comment Text Char"/>
    <w:basedOn w:val="DefaultParagraphFont"/>
    <w:link w:val="CommentText"/>
    <w:uiPriority w:val="99"/>
    <w:semiHidden/>
    <w:rsid w:val="00D4104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04F"/>
    <w:rPr>
      <w:b/>
      <w:bCs/>
    </w:rPr>
  </w:style>
  <w:style w:type="character" w:customStyle="1" w:styleId="CommentSubjectChar">
    <w:name w:val="Comment Subject Char"/>
    <w:basedOn w:val="CommentTextChar"/>
    <w:link w:val="CommentSubject"/>
    <w:uiPriority w:val="99"/>
    <w:semiHidden/>
    <w:rsid w:val="00D4104F"/>
    <w:rPr>
      <w:b/>
      <w:bCs/>
      <w:kern w:val="0"/>
      <w:sz w:val="20"/>
      <w:szCs w:val="20"/>
      <w14:ligatures w14:val="none"/>
    </w:rPr>
  </w:style>
  <w:style w:type="paragraph" w:styleId="BalloonText">
    <w:name w:val="Balloon Text"/>
    <w:basedOn w:val="Normal"/>
    <w:link w:val="BalloonTextChar"/>
    <w:uiPriority w:val="99"/>
    <w:semiHidden/>
    <w:unhideWhenUsed/>
    <w:rsid w:val="00D41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4F"/>
    <w:rPr>
      <w:rFonts w:ascii="Segoe UI" w:hAnsi="Segoe UI" w:cs="Segoe UI"/>
      <w:kern w:val="0"/>
      <w:sz w:val="18"/>
      <w:szCs w:val="18"/>
      <w14:ligatures w14:val="none"/>
    </w:rPr>
  </w:style>
  <w:style w:type="paragraph" w:styleId="Revision">
    <w:name w:val="Revision"/>
    <w:hidden/>
    <w:uiPriority w:val="99"/>
    <w:semiHidden/>
    <w:rsid w:val="00914330"/>
    <w:pPr>
      <w:spacing w:after="0" w:line="240" w:lineRule="auto"/>
    </w:pPr>
    <w:rPr>
      <w:kern w:val="0"/>
      <w14:ligatures w14:val="none"/>
    </w:rPr>
  </w:style>
  <w:style w:type="character" w:customStyle="1" w:styleId="Heading1Char">
    <w:name w:val="Heading 1 Char"/>
    <w:basedOn w:val="DefaultParagraphFont"/>
    <w:link w:val="Heading1"/>
    <w:uiPriority w:val="9"/>
    <w:rsid w:val="000C5633"/>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937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729"/>
    <w:rPr>
      <w:kern w:val="0"/>
      <w14:ligatures w14:val="none"/>
    </w:rPr>
  </w:style>
  <w:style w:type="paragraph" w:styleId="Footer">
    <w:name w:val="footer"/>
    <w:basedOn w:val="Normal"/>
    <w:link w:val="FooterChar"/>
    <w:uiPriority w:val="99"/>
    <w:unhideWhenUsed/>
    <w:rsid w:val="00937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729"/>
    <w:rPr>
      <w:kern w:val="0"/>
      <w14:ligatures w14:val="none"/>
    </w:rPr>
  </w:style>
  <w:style w:type="paragraph" w:styleId="ListParagraph">
    <w:name w:val="List Paragraph"/>
    <w:basedOn w:val="Normal"/>
    <w:uiPriority w:val="34"/>
    <w:qFormat/>
    <w:rsid w:val="00580760"/>
    <w:pPr>
      <w:ind w:left="720"/>
      <w:contextualSpacing/>
    </w:pPr>
    <w:rPr>
      <w:lang w:val="en-GB"/>
    </w:rPr>
  </w:style>
  <w:style w:type="paragraph" w:customStyle="1" w:styleId="TAMainText">
    <w:name w:val="TA_Main_Text"/>
    <w:basedOn w:val="Normal"/>
    <w:rsid w:val="00580760"/>
    <w:pPr>
      <w:spacing w:after="0" w:line="480" w:lineRule="auto"/>
      <w:ind w:firstLine="202"/>
      <w:jc w:val="both"/>
    </w:pPr>
    <w:rPr>
      <w:rFonts w:ascii="Times" w:eastAsia="Times New Roman" w:hAnsi="Times" w:cs="Times New Roman"/>
      <w:sz w:val="24"/>
      <w:szCs w:val="20"/>
      <w:lang w:val="en-GB"/>
    </w:rPr>
  </w:style>
  <w:style w:type="character" w:styleId="PlaceholderText">
    <w:name w:val="Placeholder Text"/>
    <w:basedOn w:val="DefaultParagraphFont"/>
    <w:uiPriority w:val="99"/>
    <w:semiHidden/>
    <w:rsid w:val="00580760"/>
    <w:rPr>
      <w:color w:val="666666"/>
    </w:rPr>
  </w:style>
  <w:style w:type="paragraph" w:customStyle="1" w:styleId="RSCH01PaperTitle">
    <w:name w:val="RSC H01 Paper Title"/>
    <w:basedOn w:val="Normal"/>
    <w:next w:val="Normal"/>
    <w:link w:val="RSCH01PaperTitleChar"/>
    <w:qFormat/>
    <w:rsid w:val="002D704F"/>
    <w:pPr>
      <w:tabs>
        <w:tab w:val="left" w:pos="284"/>
      </w:tabs>
      <w:spacing w:before="400" w:line="240" w:lineRule="auto"/>
    </w:pPr>
    <w:rPr>
      <w:rFonts w:cs="Times New Roman"/>
      <w:b/>
      <w:sz w:val="29"/>
      <w:szCs w:val="32"/>
      <w:lang w:val="en-GB"/>
    </w:rPr>
  </w:style>
  <w:style w:type="paragraph" w:customStyle="1" w:styleId="RSCH02PaperAuthorsandByline">
    <w:name w:val="RSC H02 Paper Authors and Byline"/>
    <w:basedOn w:val="Normal"/>
    <w:link w:val="RSCH02PaperAuthorsandBylineChar"/>
    <w:qFormat/>
    <w:rsid w:val="002D704F"/>
    <w:pPr>
      <w:spacing w:after="120" w:line="240" w:lineRule="exact"/>
    </w:pPr>
    <w:rPr>
      <w:rFonts w:cs="Times New Roman"/>
      <w:sz w:val="20"/>
      <w:lang w:val="en-GB"/>
    </w:rPr>
  </w:style>
  <w:style w:type="character" w:customStyle="1" w:styleId="RSCH01PaperTitleChar">
    <w:name w:val="RSC H01 Paper Title Char"/>
    <w:basedOn w:val="DefaultParagraphFont"/>
    <w:link w:val="RSCH01PaperTitle"/>
    <w:rsid w:val="002D704F"/>
    <w:rPr>
      <w:rFonts w:cs="Times New Roman"/>
      <w:b/>
      <w:kern w:val="0"/>
      <w:sz w:val="29"/>
      <w:szCs w:val="32"/>
      <w:lang w:val="en-GB"/>
      <w14:ligatures w14:val="none"/>
    </w:rPr>
  </w:style>
  <w:style w:type="character" w:customStyle="1" w:styleId="RSCH02PaperAuthorsandBylineChar">
    <w:name w:val="RSC H02 Paper Authors and Byline Char"/>
    <w:basedOn w:val="DefaultParagraphFont"/>
    <w:link w:val="RSCH02PaperAuthorsandByline"/>
    <w:rsid w:val="002D704F"/>
    <w:rPr>
      <w:rFonts w:cs="Times New Roman"/>
      <w:kern w:val="0"/>
      <w:sz w:val="20"/>
      <w:lang w:val="en-GB"/>
      <w14:ligatures w14:val="none"/>
    </w:rPr>
  </w:style>
  <w:style w:type="character" w:customStyle="1" w:styleId="RSCB04AHeadingSectionChar">
    <w:name w:val="RSC B04 A Heading (Section) Char"/>
    <w:basedOn w:val="DefaultParagraphFont"/>
    <w:link w:val="RSCB04AHeadingSection"/>
    <w:locked/>
    <w:rsid w:val="00B37BA3"/>
    <w:rPr>
      <w:b/>
      <w:sz w:val="24"/>
    </w:rPr>
  </w:style>
  <w:style w:type="paragraph" w:customStyle="1" w:styleId="RSCB04AHeadingSection">
    <w:name w:val="RSC B04 A Heading (Section)"/>
    <w:basedOn w:val="Normal"/>
    <w:link w:val="RSCB04AHeadingSectionChar"/>
    <w:qFormat/>
    <w:rsid w:val="00B37BA3"/>
    <w:pPr>
      <w:spacing w:before="400" w:after="80" w:line="240" w:lineRule="auto"/>
    </w:pPr>
    <w:rPr>
      <w:b/>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77614">
      <w:bodyDiv w:val="1"/>
      <w:marLeft w:val="0"/>
      <w:marRight w:val="0"/>
      <w:marTop w:val="0"/>
      <w:marBottom w:val="0"/>
      <w:divBdr>
        <w:top w:val="none" w:sz="0" w:space="0" w:color="auto"/>
        <w:left w:val="none" w:sz="0" w:space="0" w:color="auto"/>
        <w:bottom w:val="none" w:sz="0" w:space="0" w:color="auto"/>
        <w:right w:val="none" w:sz="0" w:space="0" w:color="auto"/>
      </w:divBdr>
    </w:div>
    <w:div w:id="141965195">
      <w:bodyDiv w:val="1"/>
      <w:marLeft w:val="0"/>
      <w:marRight w:val="0"/>
      <w:marTop w:val="0"/>
      <w:marBottom w:val="0"/>
      <w:divBdr>
        <w:top w:val="none" w:sz="0" w:space="0" w:color="auto"/>
        <w:left w:val="none" w:sz="0" w:space="0" w:color="auto"/>
        <w:bottom w:val="none" w:sz="0" w:space="0" w:color="auto"/>
        <w:right w:val="none" w:sz="0" w:space="0" w:color="auto"/>
      </w:divBdr>
    </w:div>
    <w:div w:id="153451321">
      <w:bodyDiv w:val="1"/>
      <w:marLeft w:val="0"/>
      <w:marRight w:val="0"/>
      <w:marTop w:val="0"/>
      <w:marBottom w:val="0"/>
      <w:divBdr>
        <w:top w:val="none" w:sz="0" w:space="0" w:color="auto"/>
        <w:left w:val="none" w:sz="0" w:space="0" w:color="auto"/>
        <w:bottom w:val="none" w:sz="0" w:space="0" w:color="auto"/>
        <w:right w:val="none" w:sz="0" w:space="0" w:color="auto"/>
      </w:divBdr>
    </w:div>
    <w:div w:id="187447390">
      <w:bodyDiv w:val="1"/>
      <w:marLeft w:val="0"/>
      <w:marRight w:val="0"/>
      <w:marTop w:val="0"/>
      <w:marBottom w:val="0"/>
      <w:divBdr>
        <w:top w:val="none" w:sz="0" w:space="0" w:color="auto"/>
        <w:left w:val="none" w:sz="0" w:space="0" w:color="auto"/>
        <w:bottom w:val="none" w:sz="0" w:space="0" w:color="auto"/>
        <w:right w:val="none" w:sz="0" w:space="0" w:color="auto"/>
      </w:divBdr>
    </w:div>
    <w:div w:id="260843191">
      <w:bodyDiv w:val="1"/>
      <w:marLeft w:val="0"/>
      <w:marRight w:val="0"/>
      <w:marTop w:val="0"/>
      <w:marBottom w:val="0"/>
      <w:divBdr>
        <w:top w:val="none" w:sz="0" w:space="0" w:color="auto"/>
        <w:left w:val="none" w:sz="0" w:space="0" w:color="auto"/>
        <w:bottom w:val="none" w:sz="0" w:space="0" w:color="auto"/>
        <w:right w:val="none" w:sz="0" w:space="0" w:color="auto"/>
      </w:divBdr>
    </w:div>
    <w:div w:id="379787151">
      <w:bodyDiv w:val="1"/>
      <w:marLeft w:val="0"/>
      <w:marRight w:val="0"/>
      <w:marTop w:val="0"/>
      <w:marBottom w:val="0"/>
      <w:divBdr>
        <w:top w:val="none" w:sz="0" w:space="0" w:color="auto"/>
        <w:left w:val="none" w:sz="0" w:space="0" w:color="auto"/>
        <w:bottom w:val="none" w:sz="0" w:space="0" w:color="auto"/>
        <w:right w:val="none" w:sz="0" w:space="0" w:color="auto"/>
      </w:divBdr>
    </w:div>
    <w:div w:id="556816024">
      <w:bodyDiv w:val="1"/>
      <w:marLeft w:val="0"/>
      <w:marRight w:val="0"/>
      <w:marTop w:val="0"/>
      <w:marBottom w:val="0"/>
      <w:divBdr>
        <w:top w:val="none" w:sz="0" w:space="0" w:color="auto"/>
        <w:left w:val="none" w:sz="0" w:space="0" w:color="auto"/>
        <w:bottom w:val="none" w:sz="0" w:space="0" w:color="auto"/>
        <w:right w:val="none" w:sz="0" w:space="0" w:color="auto"/>
      </w:divBdr>
    </w:div>
    <w:div w:id="571474460">
      <w:bodyDiv w:val="1"/>
      <w:marLeft w:val="0"/>
      <w:marRight w:val="0"/>
      <w:marTop w:val="0"/>
      <w:marBottom w:val="0"/>
      <w:divBdr>
        <w:top w:val="none" w:sz="0" w:space="0" w:color="auto"/>
        <w:left w:val="none" w:sz="0" w:space="0" w:color="auto"/>
        <w:bottom w:val="none" w:sz="0" w:space="0" w:color="auto"/>
        <w:right w:val="none" w:sz="0" w:space="0" w:color="auto"/>
      </w:divBdr>
    </w:div>
    <w:div w:id="625477395">
      <w:bodyDiv w:val="1"/>
      <w:marLeft w:val="0"/>
      <w:marRight w:val="0"/>
      <w:marTop w:val="0"/>
      <w:marBottom w:val="0"/>
      <w:divBdr>
        <w:top w:val="none" w:sz="0" w:space="0" w:color="auto"/>
        <w:left w:val="none" w:sz="0" w:space="0" w:color="auto"/>
        <w:bottom w:val="none" w:sz="0" w:space="0" w:color="auto"/>
        <w:right w:val="none" w:sz="0" w:space="0" w:color="auto"/>
      </w:divBdr>
      <w:divsChild>
        <w:div w:id="920989363">
          <w:marLeft w:val="640"/>
          <w:marRight w:val="0"/>
          <w:marTop w:val="0"/>
          <w:marBottom w:val="0"/>
          <w:divBdr>
            <w:top w:val="none" w:sz="0" w:space="0" w:color="auto"/>
            <w:left w:val="none" w:sz="0" w:space="0" w:color="auto"/>
            <w:bottom w:val="none" w:sz="0" w:space="0" w:color="auto"/>
            <w:right w:val="none" w:sz="0" w:space="0" w:color="auto"/>
          </w:divBdr>
        </w:div>
        <w:div w:id="1511751359">
          <w:marLeft w:val="640"/>
          <w:marRight w:val="0"/>
          <w:marTop w:val="0"/>
          <w:marBottom w:val="0"/>
          <w:divBdr>
            <w:top w:val="none" w:sz="0" w:space="0" w:color="auto"/>
            <w:left w:val="none" w:sz="0" w:space="0" w:color="auto"/>
            <w:bottom w:val="none" w:sz="0" w:space="0" w:color="auto"/>
            <w:right w:val="none" w:sz="0" w:space="0" w:color="auto"/>
          </w:divBdr>
        </w:div>
        <w:div w:id="346098580">
          <w:marLeft w:val="640"/>
          <w:marRight w:val="0"/>
          <w:marTop w:val="0"/>
          <w:marBottom w:val="0"/>
          <w:divBdr>
            <w:top w:val="none" w:sz="0" w:space="0" w:color="auto"/>
            <w:left w:val="none" w:sz="0" w:space="0" w:color="auto"/>
            <w:bottom w:val="none" w:sz="0" w:space="0" w:color="auto"/>
            <w:right w:val="none" w:sz="0" w:space="0" w:color="auto"/>
          </w:divBdr>
        </w:div>
        <w:div w:id="1503739684">
          <w:marLeft w:val="640"/>
          <w:marRight w:val="0"/>
          <w:marTop w:val="0"/>
          <w:marBottom w:val="0"/>
          <w:divBdr>
            <w:top w:val="none" w:sz="0" w:space="0" w:color="auto"/>
            <w:left w:val="none" w:sz="0" w:space="0" w:color="auto"/>
            <w:bottom w:val="none" w:sz="0" w:space="0" w:color="auto"/>
            <w:right w:val="none" w:sz="0" w:space="0" w:color="auto"/>
          </w:divBdr>
        </w:div>
        <w:div w:id="1155025763">
          <w:marLeft w:val="640"/>
          <w:marRight w:val="0"/>
          <w:marTop w:val="0"/>
          <w:marBottom w:val="0"/>
          <w:divBdr>
            <w:top w:val="none" w:sz="0" w:space="0" w:color="auto"/>
            <w:left w:val="none" w:sz="0" w:space="0" w:color="auto"/>
            <w:bottom w:val="none" w:sz="0" w:space="0" w:color="auto"/>
            <w:right w:val="none" w:sz="0" w:space="0" w:color="auto"/>
          </w:divBdr>
        </w:div>
        <w:div w:id="612902985">
          <w:marLeft w:val="640"/>
          <w:marRight w:val="0"/>
          <w:marTop w:val="0"/>
          <w:marBottom w:val="0"/>
          <w:divBdr>
            <w:top w:val="none" w:sz="0" w:space="0" w:color="auto"/>
            <w:left w:val="none" w:sz="0" w:space="0" w:color="auto"/>
            <w:bottom w:val="none" w:sz="0" w:space="0" w:color="auto"/>
            <w:right w:val="none" w:sz="0" w:space="0" w:color="auto"/>
          </w:divBdr>
        </w:div>
        <w:div w:id="1303386320">
          <w:marLeft w:val="640"/>
          <w:marRight w:val="0"/>
          <w:marTop w:val="0"/>
          <w:marBottom w:val="0"/>
          <w:divBdr>
            <w:top w:val="none" w:sz="0" w:space="0" w:color="auto"/>
            <w:left w:val="none" w:sz="0" w:space="0" w:color="auto"/>
            <w:bottom w:val="none" w:sz="0" w:space="0" w:color="auto"/>
            <w:right w:val="none" w:sz="0" w:space="0" w:color="auto"/>
          </w:divBdr>
        </w:div>
        <w:div w:id="223873651">
          <w:marLeft w:val="640"/>
          <w:marRight w:val="0"/>
          <w:marTop w:val="0"/>
          <w:marBottom w:val="0"/>
          <w:divBdr>
            <w:top w:val="none" w:sz="0" w:space="0" w:color="auto"/>
            <w:left w:val="none" w:sz="0" w:space="0" w:color="auto"/>
            <w:bottom w:val="none" w:sz="0" w:space="0" w:color="auto"/>
            <w:right w:val="none" w:sz="0" w:space="0" w:color="auto"/>
          </w:divBdr>
        </w:div>
        <w:div w:id="828406674">
          <w:marLeft w:val="640"/>
          <w:marRight w:val="0"/>
          <w:marTop w:val="0"/>
          <w:marBottom w:val="0"/>
          <w:divBdr>
            <w:top w:val="none" w:sz="0" w:space="0" w:color="auto"/>
            <w:left w:val="none" w:sz="0" w:space="0" w:color="auto"/>
            <w:bottom w:val="none" w:sz="0" w:space="0" w:color="auto"/>
            <w:right w:val="none" w:sz="0" w:space="0" w:color="auto"/>
          </w:divBdr>
        </w:div>
        <w:div w:id="299531129">
          <w:marLeft w:val="640"/>
          <w:marRight w:val="0"/>
          <w:marTop w:val="0"/>
          <w:marBottom w:val="0"/>
          <w:divBdr>
            <w:top w:val="none" w:sz="0" w:space="0" w:color="auto"/>
            <w:left w:val="none" w:sz="0" w:space="0" w:color="auto"/>
            <w:bottom w:val="none" w:sz="0" w:space="0" w:color="auto"/>
            <w:right w:val="none" w:sz="0" w:space="0" w:color="auto"/>
          </w:divBdr>
        </w:div>
        <w:div w:id="175459494">
          <w:marLeft w:val="640"/>
          <w:marRight w:val="0"/>
          <w:marTop w:val="0"/>
          <w:marBottom w:val="0"/>
          <w:divBdr>
            <w:top w:val="none" w:sz="0" w:space="0" w:color="auto"/>
            <w:left w:val="none" w:sz="0" w:space="0" w:color="auto"/>
            <w:bottom w:val="none" w:sz="0" w:space="0" w:color="auto"/>
            <w:right w:val="none" w:sz="0" w:space="0" w:color="auto"/>
          </w:divBdr>
        </w:div>
        <w:div w:id="1860001599">
          <w:marLeft w:val="640"/>
          <w:marRight w:val="0"/>
          <w:marTop w:val="0"/>
          <w:marBottom w:val="0"/>
          <w:divBdr>
            <w:top w:val="none" w:sz="0" w:space="0" w:color="auto"/>
            <w:left w:val="none" w:sz="0" w:space="0" w:color="auto"/>
            <w:bottom w:val="none" w:sz="0" w:space="0" w:color="auto"/>
            <w:right w:val="none" w:sz="0" w:space="0" w:color="auto"/>
          </w:divBdr>
        </w:div>
        <w:div w:id="1522432645">
          <w:marLeft w:val="640"/>
          <w:marRight w:val="0"/>
          <w:marTop w:val="0"/>
          <w:marBottom w:val="0"/>
          <w:divBdr>
            <w:top w:val="none" w:sz="0" w:space="0" w:color="auto"/>
            <w:left w:val="none" w:sz="0" w:space="0" w:color="auto"/>
            <w:bottom w:val="none" w:sz="0" w:space="0" w:color="auto"/>
            <w:right w:val="none" w:sz="0" w:space="0" w:color="auto"/>
          </w:divBdr>
        </w:div>
        <w:div w:id="1215043873">
          <w:marLeft w:val="640"/>
          <w:marRight w:val="0"/>
          <w:marTop w:val="0"/>
          <w:marBottom w:val="0"/>
          <w:divBdr>
            <w:top w:val="none" w:sz="0" w:space="0" w:color="auto"/>
            <w:left w:val="none" w:sz="0" w:space="0" w:color="auto"/>
            <w:bottom w:val="none" w:sz="0" w:space="0" w:color="auto"/>
            <w:right w:val="none" w:sz="0" w:space="0" w:color="auto"/>
          </w:divBdr>
        </w:div>
      </w:divsChild>
    </w:div>
    <w:div w:id="634407600">
      <w:bodyDiv w:val="1"/>
      <w:marLeft w:val="0"/>
      <w:marRight w:val="0"/>
      <w:marTop w:val="0"/>
      <w:marBottom w:val="0"/>
      <w:divBdr>
        <w:top w:val="none" w:sz="0" w:space="0" w:color="auto"/>
        <w:left w:val="none" w:sz="0" w:space="0" w:color="auto"/>
        <w:bottom w:val="none" w:sz="0" w:space="0" w:color="auto"/>
        <w:right w:val="none" w:sz="0" w:space="0" w:color="auto"/>
      </w:divBdr>
    </w:div>
    <w:div w:id="654533783">
      <w:bodyDiv w:val="1"/>
      <w:marLeft w:val="0"/>
      <w:marRight w:val="0"/>
      <w:marTop w:val="0"/>
      <w:marBottom w:val="0"/>
      <w:divBdr>
        <w:top w:val="none" w:sz="0" w:space="0" w:color="auto"/>
        <w:left w:val="none" w:sz="0" w:space="0" w:color="auto"/>
        <w:bottom w:val="none" w:sz="0" w:space="0" w:color="auto"/>
        <w:right w:val="none" w:sz="0" w:space="0" w:color="auto"/>
      </w:divBdr>
    </w:div>
    <w:div w:id="684672213">
      <w:bodyDiv w:val="1"/>
      <w:marLeft w:val="0"/>
      <w:marRight w:val="0"/>
      <w:marTop w:val="0"/>
      <w:marBottom w:val="0"/>
      <w:divBdr>
        <w:top w:val="none" w:sz="0" w:space="0" w:color="auto"/>
        <w:left w:val="none" w:sz="0" w:space="0" w:color="auto"/>
        <w:bottom w:val="none" w:sz="0" w:space="0" w:color="auto"/>
        <w:right w:val="none" w:sz="0" w:space="0" w:color="auto"/>
      </w:divBdr>
      <w:divsChild>
        <w:div w:id="1697198555">
          <w:marLeft w:val="640"/>
          <w:marRight w:val="0"/>
          <w:marTop w:val="0"/>
          <w:marBottom w:val="0"/>
          <w:divBdr>
            <w:top w:val="none" w:sz="0" w:space="0" w:color="auto"/>
            <w:left w:val="none" w:sz="0" w:space="0" w:color="auto"/>
            <w:bottom w:val="none" w:sz="0" w:space="0" w:color="auto"/>
            <w:right w:val="none" w:sz="0" w:space="0" w:color="auto"/>
          </w:divBdr>
        </w:div>
        <w:div w:id="1741638385">
          <w:marLeft w:val="640"/>
          <w:marRight w:val="0"/>
          <w:marTop w:val="0"/>
          <w:marBottom w:val="0"/>
          <w:divBdr>
            <w:top w:val="none" w:sz="0" w:space="0" w:color="auto"/>
            <w:left w:val="none" w:sz="0" w:space="0" w:color="auto"/>
            <w:bottom w:val="none" w:sz="0" w:space="0" w:color="auto"/>
            <w:right w:val="none" w:sz="0" w:space="0" w:color="auto"/>
          </w:divBdr>
        </w:div>
        <w:div w:id="1940944287">
          <w:marLeft w:val="640"/>
          <w:marRight w:val="0"/>
          <w:marTop w:val="0"/>
          <w:marBottom w:val="0"/>
          <w:divBdr>
            <w:top w:val="none" w:sz="0" w:space="0" w:color="auto"/>
            <w:left w:val="none" w:sz="0" w:space="0" w:color="auto"/>
            <w:bottom w:val="none" w:sz="0" w:space="0" w:color="auto"/>
            <w:right w:val="none" w:sz="0" w:space="0" w:color="auto"/>
          </w:divBdr>
        </w:div>
        <w:div w:id="397635802">
          <w:marLeft w:val="640"/>
          <w:marRight w:val="0"/>
          <w:marTop w:val="0"/>
          <w:marBottom w:val="0"/>
          <w:divBdr>
            <w:top w:val="none" w:sz="0" w:space="0" w:color="auto"/>
            <w:left w:val="none" w:sz="0" w:space="0" w:color="auto"/>
            <w:bottom w:val="none" w:sz="0" w:space="0" w:color="auto"/>
            <w:right w:val="none" w:sz="0" w:space="0" w:color="auto"/>
          </w:divBdr>
        </w:div>
      </w:divsChild>
    </w:div>
    <w:div w:id="785470366">
      <w:bodyDiv w:val="1"/>
      <w:marLeft w:val="0"/>
      <w:marRight w:val="0"/>
      <w:marTop w:val="0"/>
      <w:marBottom w:val="0"/>
      <w:divBdr>
        <w:top w:val="none" w:sz="0" w:space="0" w:color="auto"/>
        <w:left w:val="none" w:sz="0" w:space="0" w:color="auto"/>
        <w:bottom w:val="none" w:sz="0" w:space="0" w:color="auto"/>
        <w:right w:val="none" w:sz="0" w:space="0" w:color="auto"/>
      </w:divBdr>
    </w:div>
    <w:div w:id="865946587">
      <w:bodyDiv w:val="1"/>
      <w:marLeft w:val="0"/>
      <w:marRight w:val="0"/>
      <w:marTop w:val="0"/>
      <w:marBottom w:val="0"/>
      <w:divBdr>
        <w:top w:val="none" w:sz="0" w:space="0" w:color="auto"/>
        <w:left w:val="none" w:sz="0" w:space="0" w:color="auto"/>
        <w:bottom w:val="none" w:sz="0" w:space="0" w:color="auto"/>
        <w:right w:val="none" w:sz="0" w:space="0" w:color="auto"/>
      </w:divBdr>
    </w:div>
    <w:div w:id="1000818133">
      <w:bodyDiv w:val="1"/>
      <w:marLeft w:val="0"/>
      <w:marRight w:val="0"/>
      <w:marTop w:val="0"/>
      <w:marBottom w:val="0"/>
      <w:divBdr>
        <w:top w:val="none" w:sz="0" w:space="0" w:color="auto"/>
        <w:left w:val="none" w:sz="0" w:space="0" w:color="auto"/>
        <w:bottom w:val="none" w:sz="0" w:space="0" w:color="auto"/>
        <w:right w:val="none" w:sz="0" w:space="0" w:color="auto"/>
      </w:divBdr>
    </w:div>
    <w:div w:id="1017151082">
      <w:bodyDiv w:val="1"/>
      <w:marLeft w:val="0"/>
      <w:marRight w:val="0"/>
      <w:marTop w:val="0"/>
      <w:marBottom w:val="0"/>
      <w:divBdr>
        <w:top w:val="none" w:sz="0" w:space="0" w:color="auto"/>
        <w:left w:val="none" w:sz="0" w:space="0" w:color="auto"/>
        <w:bottom w:val="none" w:sz="0" w:space="0" w:color="auto"/>
        <w:right w:val="none" w:sz="0" w:space="0" w:color="auto"/>
      </w:divBdr>
    </w:div>
    <w:div w:id="1023938752">
      <w:bodyDiv w:val="1"/>
      <w:marLeft w:val="0"/>
      <w:marRight w:val="0"/>
      <w:marTop w:val="0"/>
      <w:marBottom w:val="0"/>
      <w:divBdr>
        <w:top w:val="none" w:sz="0" w:space="0" w:color="auto"/>
        <w:left w:val="none" w:sz="0" w:space="0" w:color="auto"/>
        <w:bottom w:val="none" w:sz="0" w:space="0" w:color="auto"/>
        <w:right w:val="none" w:sz="0" w:space="0" w:color="auto"/>
      </w:divBdr>
    </w:div>
    <w:div w:id="1024939347">
      <w:bodyDiv w:val="1"/>
      <w:marLeft w:val="0"/>
      <w:marRight w:val="0"/>
      <w:marTop w:val="0"/>
      <w:marBottom w:val="0"/>
      <w:divBdr>
        <w:top w:val="none" w:sz="0" w:space="0" w:color="auto"/>
        <w:left w:val="none" w:sz="0" w:space="0" w:color="auto"/>
        <w:bottom w:val="none" w:sz="0" w:space="0" w:color="auto"/>
        <w:right w:val="none" w:sz="0" w:space="0" w:color="auto"/>
      </w:divBdr>
    </w:div>
    <w:div w:id="1041516204">
      <w:bodyDiv w:val="1"/>
      <w:marLeft w:val="0"/>
      <w:marRight w:val="0"/>
      <w:marTop w:val="0"/>
      <w:marBottom w:val="0"/>
      <w:divBdr>
        <w:top w:val="none" w:sz="0" w:space="0" w:color="auto"/>
        <w:left w:val="none" w:sz="0" w:space="0" w:color="auto"/>
        <w:bottom w:val="none" w:sz="0" w:space="0" w:color="auto"/>
        <w:right w:val="none" w:sz="0" w:space="0" w:color="auto"/>
      </w:divBdr>
    </w:div>
    <w:div w:id="1093430440">
      <w:bodyDiv w:val="1"/>
      <w:marLeft w:val="0"/>
      <w:marRight w:val="0"/>
      <w:marTop w:val="0"/>
      <w:marBottom w:val="0"/>
      <w:divBdr>
        <w:top w:val="none" w:sz="0" w:space="0" w:color="auto"/>
        <w:left w:val="none" w:sz="0" w:space="0" w:color="auto"/>
        <w:bottom w:val="none" w:sz="0" w:space="0" w:color="auto"/>
        <w:right w:val="none" w:sz="0" w:space="0" w:color="auto"/>
      </w:divBdr>
      <w:divsChild>
        <w:div w:id="2096628566">
          <w:marLeft w:val="640"/>
          <w:marRight w:val="0"/>
          <w:marTop w:val="0"/>
          <w:marBottom w:val="0"/>
          <w:divBdr>
            <w:top w:val="none" w:sz="0" w:space="0" w:color="auto"/>
            <w:left w:val="none" w:sz="0" w:space="0" w:color="auto"/>
            <w:bottom w:val="none" w:sz="0" w:space="0" w:color="auto"/>
            <w:right w:val="none" w:sz="0" w:space="0" w:color="auto"/>
          </w:divBdr>
        </w:div>
        <w:div w:id="746419083">
          <w:marLeft w:val="640"/>
          <w:marRight w:val="0"/>
          <w:marTop w:val="0"/>
          <w:marBottom w:val="0"/>
          <w:divBdr>
            <w:top w:val="none" w:sz="0" w:space="0" w:color="auto"/>
            <w:left w:val="none" w:sz="0" w:space="0" w:color="auto"/>
            <w:bottom w:val="none" w:sz="0" w:space="0" w:color="auto"/>
            <w:right w:val="none" w:sz="0" w:space="0" w:color="auto"/>
          </w:divBdr>
        </w:div>
        <w:div w:id="323553015">
          <w:marLeft w:val="640"/>
          <w:marRight w:val="0"/>
          <w:marTop w:val="0"/>
          <w:marBottom w:val="0"/>
          <w:divBdr>
            <w:top w:val="none" w:sz="0" w:space="0" w:color="auto"/>
            <w:left w:val="none" w:sz="0" w:space="0" w:color="auto"/>
            <w:bottom w:val="none" w:sz="0" w:space="0" w:color="auto"/>
            <w:right w:val="none" w:sz="0" w:space="0" w:color="auto"/>
          </w:divBdr>
        </w:div>
        <w:div w:id="1112743869">
          <w:marLeft w:val="640"/>
          <w:marRight w:val="0"/>
          <w:marTop w:val="0"/>
          <w:marBottom w:val="0"/>
          <w:divBdr>
            <w:top w:val="none" w:sz="0" w:space="0" w:color="auto"/>
            <w:left w:val="none" w:sz="0" w:space="0" w:color="auto"/>
            <w:bottom w:val="none" w:sz="0" w:space="0" w:color="auto"/>
            <w:right w:val="none" w:sz="0" w:space="0" w:color="auto"/>
          </w:divBdr>
        </w:div>
      </w:divsChild>
    </w:div>
    <w:div w:id="1168642390">
      <w:bodyDiv w:val="1"/>
      <w:marLeft w:val="0"/>
      <w:marRight w:val="0"/>
      <w:marTop w:val="0"/>
      <w:marBottom w:val="0"/>
      <w:divBdr>
        <w:top w:val="none" w:sz="0" w:space="0" w:color="auto"/>
        <w:left w:val="none" w:sz="0" w:space="0" w:color="auto"/>
        <w:bottom w:val="none" w:sz="0" w:space="0" w:color="auto"/>
        <w:right w:val="none" w:sz="0" w:space="0" w:color="auto"/>
      </w:divBdr>
    </w:div>
    <w:div w:id="1238662081">
      <w:bodyDiv w:val="1"/>
      <w:marLeft w:val="0"/>
      <w:marRight w:val="0"/>
      <w:marTop w:val="0"/>
      <w:marBottom w:val="0"/>
      <w:divBdr>
        <w:top w:val="none" w:sz="0" w:space="0" w:color="auto"/>
        <w:left w:val="none" w:sz="0" w:space="0" w:color="auto"/>
        <w:bottom w:val="none" w:sz="0" w:space="0" w:color="auto"/>
        <w:right w:val="none" w:sz="0" w:space="0" w:color="auto"/>
      </w:divBdr>
    </w:div>
    <w:div w:id="1312248143">
      <w:bodyDiv w:val="1"/>
      <w:marLeft w:val="0"/>
      <w:marRight w:val="0"/>
      <w:marTop w:val="0"/>
      <w:marBottom w:val="0"/>
      <w:divBdr>
        <w:top w:val="none" w:sz="0" w:space="0" w:color="auto"/>
        <w:left w:val="none" w:sz="0" w:space="0" w:color="auto"/>
        <w:bottom w:val="none" w:sz="0" w:space="0" w:color="auto"/>
        <w:right w:val="none" w:sz="0" w:space="0" w:color="auto"/>
      </w:divBdr>
      <w:divsChild>
        <w:div w:id="1327588000">
          <w:marLeft w:val="640"/>
          <w:marRight w:val="0"/>
          <w:marTop w:val="0"/>
          <w:marBottom w:val="0"/>
          <w:divBdr>
            <w:top w:val="none" w:sz="0" w:space="0" w:color="auto"/>
            <w:left w:val="none" w:sz="0" w:space="0" w:color="auto"/>
            <w:bottom w:val="none" w:sz="0" w:space="0" w:color="auto"/>
            <w:right w:val="none" w:sz="0" w:space="0" w:color="auto"/>
          </w:divBdr>
        </w:div>
        <w:div w:id="812211289">
          <w:marLeft w:val="640"/>
          <w:marRight w:val="0"/>
          <w:marTop w:val="0"/>
          <w:marBottom w:val="0"/>
          <w:divBdr>
            <w:top w:val="none" w:sz="0" w:space="0" w:color="auto"/>
            <w:left w:val="none" w:sz="0" w:space="0" w:color="auto"/>
            <w:bottom w:val="none" w:sz="0" w:space="0" w:color="auto"/>
            <w:right w:val="none" w:sz="0" w:space="0" w:color="auto"/>
          </w:divBdr>
        </w:div>
        <w:div w:id="411048242">
          <w:marLeft w:val="640"/>
          <w:marRight w:val="0"/>
          <w:marTop w:val="0"/>
          <w:marBottom w:val="0"/>
          <w:divBdr>
            <w:top w:val="none" w:sz="0" w:space="0" w:color="auto"/>
            <w:left w:val="none" w:sz="0" w:space="0" w:color="auto"/>
            <w:bottom w:val="none" w:sz="0" w:space="0" w:color="auto"/>
            <w:right w:val="none" w:sz="0" w:space="0" w:color="auto"/>
          </w:divBdr>
        </w:div>
        <w:div w:id="154418791">
          <w:marLeft w:val="640"/>
          <w:marRight w:val="0"/>
          <w:marTop w:val="0"/>
          <w:marBottom w:val="0"/>
          <w:divBdr>
            <w:top w:val="none" w:sz="0" w:space="0" w:color="auto"/>
            <w:left w:val="none" w:sz="0" w:space="0" w:color="auto"/>
            <w:bottom w:val="none" w:sz="0" w:space="0" w:color="auto"/>
            <w:right w:val="none" w:sz="0" w:space="0" w:color="auto"/>
          </w:divBdr>
        </w:div>
      </w:divsChild>
    </w:div>
    <w:div w:id="1346588188">
      <w:bodyDiv w:val="1"/>
      <w:marLeft w:val="0"/>
      <w:marRight w:val="0"/>
      <w:marTop w:val="0"/>
      <w:marBottom w:val="0"/>
      <w:divBdr>
        <w:top w:val="none" w:sz="0" w:space="0" w:color="auto"/>
        <w:left w:val="none" w:sz="0" w:space="0" w:color="auto"/>
        <w:bottom w:val="none" w:sz="0" w:space="0" w:color="auto"/>
        <w:right w:val="none" w:sz="0" w:space="0" w:color="auto"/>
      </w:divBdr>
    </w:div>
    <w:div w:id="1493565487">
      <w:bodyDiv w:val="1"/>
      <w:marLeft w:val="0"/>
      <w:marRight w:val="0"/>
      <w:marTop w:val="0"/>
      <w:marBottom w:val="0"/>
      <w:divBdr>
        <w:top w:val="none" w:sz="0" w:space="0" w:color="auto"/>
        <w:left w:val="none" w:sz="0" w:space="0" w:color="auto"/>
        <w:bottom w:val="none" w:sz="0" w:space="0" w:color="auto"/>
        <w:right w:val="none" w:sz="0" w:space="0" w:color="auto"/>
      </w:divBdr>
    </w:div>
    <w:div w:id="1511482383">
      <w:bodyDiv w:val="1"/>
      <w:marLeft w:val="0"/>
      <w:marRight w:val="0"/>
      <w:marTop w:val="0"/>
      <w:marBottom w:val="0"/>
      <w:divBdr>
        <w:top w:val="none" w:sz="0" w:space="0" w:color="auto"/>
        <w:left w:val="none" w:sz="0" w:space="0" w:color="auto"/>
        <w:bottom w:val="none" w:sz="0" w:space="0" w:color="auto"/>
        <w:right w:val="none" w:sz="0" w:space="0" w:color="auto"/>
      </w:divBdr>
    </w:div>
    <w:div w:id="1565798679">
      <w:bodyDiv w:val="1"/>
      <w:marLeft w:val="0"/>
      <w:marRight w:val="0"/>
      <w:marTop w:val="0"/>
      <w:marBottom w:val="0"/>
      <w:divBdr>
        <w:top w:val="none" w:sz="0" w:space="0" w:color="auto"/>
        <w:left w:val="none" w:sz="0" w:space="0" w:color="auto"/>
        <w:bottom w:val="none" w:sz="0" w:space="0" w:color="auto"/>
        <w:right w:val="none" w:sz="0" w:space="0" w:color="auto"/>
      </w:divBdr>
    </w:div>
    <w:div w:id="1630084082">
      <w:bodyDiv w:val="1"/>
      <w:marLeft w:val="0"/>
      <w:marRight w:val="0"/>
      <w:marTop w:val="0"/>
      <w:marBottom w:val="0"/>
      <w:divBdr>
        <w:top w:val="none" w:sz="0" w:space="0" w:color="auto"/>
        <w:left w:val="none" w:sz="0" w:space="0" w:color="auto"/>
        <w:bottom w:val="none" w:sz="0" w:space="0" w:color="auto"/>
        <w:right w:val="none" w:sz="0" w:space="0" w:color="auto"/>
      </w:divBdr>
    </w:div>
    <w:div w:id="1631978079">
      <w:bodyDiv w:val="1"/>
      <w:marLeft w:val="0"/>
      <w:marRight w:val="0"/>
      <w:marTop w:val="0"/>
      <w:marBottom w:val="0"/>
      <w:divBdr>
        <w:top w:val="none" w:sz="0" w:space="0" w:color="auto"/>
        <w:left w:val="none" w:sz="0" w:space="0" w:color="auto"/>
        <w:bottom w:val="none" w:sz="0" w:space="0" w:color="auto"/>
        <w:right w:val="none" w:sz="0" w:space="0" w:color="auto"/>
      </w:divBdr>
    </w:div>
    <w:div w:id="1698895566">
      <w:bodyDiv w:val="1"/>
      <w:marLeft w:val="0"/>
      <w:marRight w:val="0"/>
      <w:marTop w:val="0"/>
      <w:marBottom w:val="0"/>
      <w:divBdr>
        <w:top w:val="none" w:sz="0" w:space="0" w:color="auto"/>
        <w:left w:val="none" w:sz="0" w:space="0" w:color="auto"/>
        <w:bottom w:val="none" w:sz="0" w:space="0" w:color="auto"/>
        <w:right w:val="none" w:sz="0" w:space="0" w:color="auto"/>
      </w:divBdr>
    </w:div>
    <w:div w:id="1729574638">
      <w:bodyDiv w:val="1"/>
      <w:marLeft w:val="0"/>
      <w:marRight w:val="0"/>
      <w:marTop w:val="0"/>
      <w:marBottom w:val="0"/>
      <w:divBdr>
        <w:top w:val="none" w:sz="0" w:space="0" w:color="auto"/>
        <w:left w:val="none" w:sz="0" w:space="0" w:color="auto"/>
        <w:bottom w:val="none" w:sz="0" w:space="0" w:color="auto"/>
        <w:right w:val="none" w:sz="0" w:space="0" w:color="auto"/>
      </w:divBdr>
    </w:div>
    <w:div w:id="1784304708">
      <w:bodyDiv w:val="1"/>
      <w:marLeft w:val="0"/>
      <w:marRight w:val="0"/>
      <w:marTop w:val="0"/>
      <w:marBottom w:val="0"/>
      <w:divBdr>
        <w:top w:val="none" w:sz="0" w:space="0" w:color="auto"/>
        <w:left w:val="none" w:sz="0" w:space="0" w:color="auto"/>
        <w:bottom w:val="none" w:sz="0" w:space="0" w:color="auto"/>
        <w:right w:val="none" w:sz="0" w:space="0" w:color="auto"/>
      </w:divBdr>
    </w:div>
    <w:div w:id="1820613771">
      <w:bodyDiv w:val="1"/>
      <w:marLeft w:val="0"/>
      <w:marRight w:val="0"/>
      <w:marTop w:val="0"/>
      <w:marBottom w:val="0"/>
      <w:divBdr>
        <w:top w:val="none" w:sz="0" w:space="0" w:color="auto"/>
        <w:left w:val="none" w:sz="0" w:space="0" w:color="auto"/>
        <w:bottom w:val="none" w:sz="0" w:space="0" w:color="auto"/>
        <w:right w:val="none" w:sz="0" w:space="0" w:color="auto"/>
      </w:divBdr>
    </w:div>
    <w:div w:id="1841849865">
      <w:bodyDiv w:val="1"/>
      <w:marLeft w:val="0"/>
      <w:marRight w:val="0"/>
      <w:marTop w:val="0"/>
      <w:marBottom w:val="0"/>
      <w:divBdr>
        <w:top w:val="none" w:sz="0" w:space="0" w:color="auto"/>
        <w:left w:val="none" w:sz="0" w:space="0" w:color="auto"/>
        <w:bottom w:val="none" w:sz="0" w:space="0" w:color="auto"/>
        <w:right w:val="none" w:sz="0" w:space="0" w:color="auto"/>
      </w:divBdr>
    </w:div>
    <w:div w:id="1848978661">
      <w:bodyDiv w:val="1"/>
      <w:marLeft w:val="0"/>
      <w:marRight w:val="0"/>
      <w:marTop w:val="0"/>
      <w:marBottom w:val="0"/>
      <w:divBdr>
        <w:top w:val="none" w:sz="0" w:space="0" w:color="auto"/>
        <w:left w:val="none" w:sz="0" w:space="0" w:color="auto"/>
        <w:bottom w:val="none" w:sz="0" w:space="0" w:color="auto"/>
        <w:right w:val="none" w:sz="0" w:space="0" w:color="auto"/>
      </w:divBdr>
    </w:div>
    <w:div w:id="1854301966">
      <w:bodyDiv w:val="1"/>
      <w:marLeft w:val="0"/>
      <w:marRight w:val="0"/>
      <w:marTop w:val="0"/>
      <w:marBottom w:val="0"/>
      <w:divBdr>
        <w:top w:val="none" w:sz="0" w:space="0" w:color="auto"/>
        <w:left w:val="none" w:sz="0" w:space="0" w:color="auto"/>
        <w:bottom w:val="none" w:sz="0" w:space="0" w:color="auto"/>
        <w:right w:val="none" w:sz="0" w:space="0" w:color="auto"/>
      </w:divBdr>
    </w:div>
    <w:div w:id="1866286557">
      <w:bodyDiv w:val="1"/>
      <w:marLeft w:val="0"/>
      <w:marRight w:val="0"/>
      <w:marTop w:val="0"/>
      <w:marBottom w:val="0"/>
      <w:divBdr>
        <w:top w:val="none" w:sz="0" w:space="0" w:color="auto"/>
        <w:left w:val="none" w:sz="0" w:space="0" w:color="auto"/>
        <w:bottom w:val="none" w:sz="0" w:space="0" w:color="auto"/>
        <w:right w:val="none" w:sz="0" w:space="0" w:color="auto"/>
      </w:divBdr>
    </w:div>
    <w:div w:id="2024937924">
      <w:bodyDiv w:val="1"/>
      <w:marLeft w:val="0"/>
      <w:marRight w:val="0"/>
      <w:marTop w:val="0"/>
      <w:marBottom w:val="0"/>
      <w:divBdr>
        <w:top w:val="none" w:sz="0" w:space="0" w:color="auto"/>
        <w:left w:val="none" w:sz="0" w:space="0" w:color="auto"/>
        <w:bottom w:val="none" w:sz="0" w:space="0" w:color="auto"/>
        <w:right w:val="none" w:sz="0" w:space="0" w:color="auto"/>
      </w:divBdr>
    </w:div>
    <w:div w:id="2040084307">
      <w:bodyDiv w:val="1"/>
      <w:marLeft w:val="0"/>
      <w:marRight w:val="0"/>
      <w:marTop w:val="0"/>
      <w:marBottom w:val="0"/>
      <w:divBdr>
        <w:top w:val="none" w:sz="0" w:space="0" w:color="auto"/>
        <w:left w:val="none" w:sz="0" w:space="0" w:color="auto"/>
        <w:bottom w:val="none" w:sz="0" w:space="0" w:color="auto"/>
        <w:right w:val="none" w:sz="0" w:space="0" w:color="auto"/>
      </w:divBdr>
    </w:div>
    <w:div w:id="2092459291">
      <w:bodyDiv w:val="1"/>
      <w:marLeft w:val="0"/>
      <w:marRight w:val="0"/>
      <w:marTop w:val="0"/>
      <w:marBottom w:val="0"/>
      <w:divBdr>
        <w:top w:val="none" w:sz="0" w:space="0" w:color="auto"/>
        <w:left w:val="none" w:sz="0" w:space="0" w:color="auto"/>
        <w:bottom w:val="none" w:sz="0" w:space="0" w:color="auto"/>
        <w:right w:val="none" w:sz="0" w:space="0" w:color="auto"/>
      </w:divBdr>
    </w:div>
    <w:div w:id="214303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tpi.ch/Calculator/ProteinTool" TargetMode="External"/><Relationship Id="rId13" Type="http://schemas.openxmlformats.org/officeDocument/2006/relationships/image" Target="media/image3.tif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FEA111-ED34-4D8C-B71A-37339F90BB98}">
  <we:reference id="wa104382081" version="1.55.1.0" store="en-US" storeType="OMEX"/>
  <we:alternateReferences>
    <we:reference id="WA104382081" version="1.55.1.0" store="" storeType="OMEX"/>
  </we:alternateReferences>
  <we:properties>
    <we:property name="MENDELEY_CITATIONS" value="[]"/>
    <we:property name="MENDELEY_CITATIONS_LOCALE_CODE" value="&quot;en-GB&quot;"/>
    <we:property name="MENDELEY_CITATIONS_STYLE" value="{&quot;id&quot;:&quot;https://www.zotero.org/styles/materials-horizons&quot;,&quot;title&quot;:&quot;Materials Horiz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54676-30A0-413E-9831-465725DA4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3800</Words>
  <Characters>21662</Characters>
  <Application>Microsoft Office Word</Application>
  <DocSecurity>0</DocSecurity>
  <Lines>180</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Blanco Massani</dc:creator>
  <cp:keywords/>
  <dc:description/>
  <cp:lastModifiedBy>Mariana Raquel Blanco Massani</cp:lastModifiedBy>
  <cp:revision>2</cp:revision>
  <dcterms:created xsi:type="dcterms:W3CDTF">2024-07-19T10:50:00Z</dcterms:created>
  <dcterms:modified xsi:type="dcterms:W3CDTF">2024-07-19T10:50:00Z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http://www.zotero.org/styles/applied-clay-science</vt:lpwstr>
  </property>
  <property fmtid="{D5CDD505-2E9C-101B-9397-08002B2CF9AE}" pid="7" name="Mendeley Recent Style Name 2_1">
    <vt:lpwstr>Applied Clay Science</vt:lpwstr>
  </property>
  <property fmtid="{D5CDD505-2E9C-101B-9397-08002B2CF9AE}" pid="8" name="Mendeley Recent Style Id 3_1">
    <vt:lpwstr>http://www.zotero.org/styles/biometals</vt:lpwstr>
  </property>
  <property fmtid="{D5CDD505-2E9C-101B-9397-08002B2CF9AE}" pid="9" name="Mendeley Recent Style Name 3_1">
    <vt:lpwstr>BioMetals</vt:lpwstr>
  </property>
  <property fmtid="{D5CDD505-2E9C-101B-9397-08002B2CF9AE}" pid="10" name="Mendeley Recent Style Id 4_1">
    <vt:lpwstr>http://www.zotero.org/styles/bioactive-materials</vt:lpwstr>
  </property>
  <property fmtid="{D5CDD505-2E9C-101B-9397-08002B2CF9AE}" pid="11" name="Mendeley Recent Style Name 4_1">
    <vt:lpwstr>Bioactive Materials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http://www.zotero.org/styles/food-control</vt:lpwstr>
  </property>
  <property fmtid="{D5CDD505-2E9C-101B-9397-08002B2CF9AE}" pid="15" name="Mendeley Recent Style Name 6_1">
    <vt:lpwstr>Food Control</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http://www.zotero.org/styles/international-journal-of-food-science-and-technology</vt:lpwstr>
  </property>
  <property fmtid="{D5CDD505-2E9C-101B-9397-08002B2CF9AE}" pid="19" name="Mendeley Recent Style Name 8_1">
    <vt:lpwstr>International Journal of Food Science &amp; Technology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d783c5de-598d-31b0-86e7-ed5818d22884</vt:lpwstr>
  </property>
  <property fmtid="{D5CDD505-2E9C-101B-9397-08002B2CF9AE}" pid="24" name="Mendeley Citation Style_1">
    <vt:lpwstr>http://www.zotero.org/styles/bioactive-materials</vt:lpwstr>
  </property>
</Properties>
</file>